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5C" w:rsidRPr="0083605C" w:rsidRDefault="0083605C" w:rsidP="0083605C">
      <w:pPr>
        <w:rPr>
          <w:rFonts w:ascii="Verdana" w:hAnsi="Verdana"/>
          <w:bCs/>
          <w:sz w:val="28"/>
          <w:szCs w:val="28"/>
        </w:rPr>
      </w:pPr>
      <w:r w:rsidRPr="0083605C">
        <w:rPr>
          <w:rFonts w:ascii="Verdana" w:hAnsi="Verdana"/>
          <w:bCs/>
          <w:sz w:val="28"/>
          <w:szCs w:val="28"/>
        </w:rPr>
        <w:t>NEDERLANDS PALESTINA KOMITEE - JAARVERSLAG 2012</w:t>
      </w:r>
    </w:p>
    <w:p w:rsidR="0083605C" w:rsidRPr="0083605C" w:rsidRDefault="0083605C" w:rsidP="0083605C">
      <w:pPr>
        <w:pStyle w:val="Geenafstand"/>
        <w:rPr>
          <w:rFonts w:ascii="Verdana" w:hAnsi="Verdana"/>
          <w:szCs w:val="24"/>
        </w:rPr>
      </w:pPr>
    </w:p>
    <w:p w:rsidR="0083605C" w:rsidRPr="0083605C" w:rsidRDefault="0083605C" w:rsidP="0083605C">
      <w:pPr>
        <w:pStyle w:val="Geenafstand"/>
        <w:rPr>
          <w:rFonts w:ascii="Verdana" w:hAnsi="Verdana"/>
          <w:szCs w:val="24"/>
        </w:rPr>
      </w:pPr>
      <w:r w:rsidRPr="0083605C">
        <w:rPr>
          <w:rFonts w:ascii="Verdana" w:hAnsi="Verdana"/>
          <w:szCs w:val="24"/>
        </w:rPr>
        <w:t>Het Nederlands Palestina Komitee (NPK) wil de in het internationaal recht verankerde Palestijnse rechten helpen realiseren door versterking van de solidariteit met het Palestijnse volk. Het NPK doet dat sinds de oprichting in 1969 vanuit een mondiale visie tegen uitbuiting, onderdrukking, discriminatie en racisme. In 2012 was dat urgenter dan ooit, gezien de in hoog tempo voortgaande ontrechting van Palestijnen door Israel, waarbij Israel in de eerste helft van 2012 werd gesteund door de meest pro-Israelische regering die Nederland ooit had: een VVD-CDA-coalitie met PVV-SGP-CU-steun. In het najaar kwam een VVD-PvdA-kabinet tot stand met op Buitenlandse Zaken PvdA-minister Frans Timmermans. Op naar een kritischer Israel-politiek vanuit Nederland?</w:t>
      </w:r>
    </w:p>
    <w:p w:rsidR="0083605C" w:rsidRPr="0083605C" w:rsidRDefault="0083605C" w:rsidP="0083605C">
      <w:pPr>
        <w:pStyle w:val="Geenafstand"/>
        <w:rPr>
          <w:rFonts w:ascii="Verdana" w:hAnsi="Verdana"/>
          <w:szCs w:val="24"/>
        </w:rPr>
      </w:pPr>
      <w:r w:rsidRPr="0083605C">
        <w:rPr>
          <w:rFonts w:ascii="Verdana" w:hAnsi="Verdana"/>
          <w:szCs w:val="24"/>
        </w:rPr>
        <w:t xml:space="preserve">   </w:t>
      </w:r>
    </w:p>
    <w:p w:rsidR="0083605C" w:rsidRPr="0083605C" w:rsidRDefault="0083605C" w:rsidP="0083605C">
      <w:pPr>
        <w:pStyle w:val="Geenafstand"/>
        <w:rPr>
          <w:rFonts w:ascii="Verdana" w:hAnsi="Verdana"/>
          <w:szCs w:val="24"/>
        </w:rPr>
      </w:pPr>
      <w:r w:rsidRPr="0083605C">
        <w:rPr>
          <w:rFonts w:ascii="Verdana" w:hAnsi="Verdana"/>
          <w:szCs w:val="24"/>
        </w:rPr>
        <w:t xml:space="preserve">Ook in 2012 kon het NPK haar taak uitvoeren dankzij de belangrijke steun van een trouwe achterban van donateurs, sympathisanten en vrijwilligers. Maar ook dankzij de samenwerking met een netwerk van organisaties in Nederland (Samenwerken voor Palestina, docP), Europa (ECCP), de in 1967 bezette Palestijnse gebieden, de Palestijnse diaspora en Palestijnse organisaties in Israël. </w:t>
      </w:r>
    </w:p>
    <w:p w:rsidR="0083605C" w:rsidRPr="0083605C" w:rsidRDefault="0083605C" w:rsidP="0083605C">
      <w:pPr>
        <w:pStyle w:val="Geenafstand"/>
        <w:rPr>
          <w:rFonts w:ascii="Verdana" w:hAnsi="Verdana"/>
          <w:szCs w:val="24"/>
        </w:rPr>
      </w:pPr>
    </w:p>
    <w:p w:rsidR="0083605C" w:rsidRPr="0083605C" w:rsidRDefault="0083605C" w:rsidP="0083605C">
      <w:pPr>
        <w:pStyle w:val="Geenafstand"/>
        <w:rPr>
          <w:rFonts w:ascii="Verdana" w:hAnsi="Verdana"/>
          <w:b/>
          <w:szCs w:val="24"/>
        </w:rPr>
      </w:pPr>
      <w:r w:rsidRPr="0083605C">
        <w:rPr>
          <w:rFonts w:ascii="Verdana" w:hAnsi="Verdana"/>
          <w:b/>
          <w:iCs/>
          <w:szCs w:val="24"/>
        </w:rPr>
        <w:t>de organisatie</w:t>
      </w:r>
    </w:p>
    <w:p w:rsidR="0083605C" w:rsidRPr="0083605C" w:rsidRDefault="0083605C" w:rsidP="0083605C">
      <w:pPr>
        <w:pStyle w:val="Geenafstand"/>
        <w:rPr>
          <w:rFonts w:ascii="Verdana" w:hAnsi="Verdana"/>
          <w:szCs w:val="24"/>
        </w:rPr>
      </w:pPr>
      <w:r w:rsidRPr="0083605C">
        <w:rPr>
          <w:rFonts w:ascii="Verdana" w:hAnsi="Verdana"/>
          <w:szCs w:val="24"/>
        </w:rPr>
        <w:t xml:space="preserve">De Stichting NPK en de daarmee verbonden Stichting Palestina Publikaties (SPP) – uitgever van de tweemaandelijkse NPK-publicatie </w:t>
      </w:r>
      <w:r w:rsidRPr="0083605C">
        <w:rPr>
          <w:rFonts w:ascii="Verdana" w:hAnsi="Verdana"/>
          <w:i/>
          <w:iCs/>
          <w:szCs w:val="24"/>
        </w:rPr>
        <w:t>Soemoed</w:t>
      </w:r>
      <w:r w:rsidRPr="0083605C">
        <w:rPr>
          <w:rFonts w:ascii="Verdana" w:hAnsi="Verdana"/>
          <w:szCs w:val="24"/>
        </w:rPr>
        <w:t xml:space="preserve">, van boeken en van brochures – is uit principe en noodzaak een vrijwilligersorganisatie. Zij heeft een driehoofdig bestuur en een Algemene Vergadering van activisten, waarbinnen de beleidslijnen worden uitgezet en activiteiten gepland. Alle kosten voor de organisatie en de activiteiten worden door donateurs gedragen. </w:t>
      </w:r>
    </w:p>
    <w:p w:rsidR="0083605C" w:rsidRPr="0083605C" w:rsidRDefault="0083605C" w:rsidP="0083605C">
      <w:pPr>
        <w:pStyle w:val="Geenafstand"/>
        <w:rPr>
          <w:rFonts w:ascii="Verdana" w:hAnsi="Verdana"/>
          <w:szCs w:val="24"/>
        </w:rPr>
      </w:pPr>
    </w:p>
    <w:p w:rsidR="0083605C" w:rsidRPr="0083605C" w:rsidRDefault="0083605C" w:rsidP="0083605C">
      <w:pPr>
        <w:pStyle w:val="Geenafstand"/>
        <w:rPr>
          <w:rFonts w:ascii="Verdana" w:hAnsi="Verdana"/>
          <w:b/>
          <w:szCs w:val="24"/>
        </w:rPr>
      </w:pPr>
      <w:r w:rsidRPr="0083605C">
        <w:rPr>
          <w:rFonts w:ascii="Verdana" w:hAnsi="Verdana"/>
          <w:b/>
          <w:iCs/>
          <w:szCs w:val="24"/>
        </w:rPr>
        <w:t>speerpunten</w:t>
      </w:r>
    </w:p>
    <w:p w:rsidR="0083605C" w:rsidRPr="0083605C" w:rsidRDefault="0083605C" w:rsidP="0083605C">
      <w:pPr>
        <w:pStyle w:val="Geenafstand"/>
        <w:rPr>
          <w:rFonts w:ascii="Verdana" w:hAnsi="Verdana"/>
          <w:szCs w:val="24"/>
        </w:rPr>
      </w:pPr>
      <w:r w:rsidRPr="0083605C">
        <w:rPr>
          <w:rFonts w:ascii="Verdana" w:hAnsi="Verdana"/>
          <w:szCs w:val="24"/>
        </w:rPr>
        <w:t xml:space="preserve">Het NPK heeft in zijn werkzaamheden twee speerpunten: informatievoorziening en deelname aan de mondiale BDS-campagne, de campagne voor Boycot, Desinvesteren &amp; Sancties tegen Israelische overheersing en Apartheidspolitiek. </w:t>
      </w:r>
    </w:p>
    <w:p w:rsidR="0083605C" w:rsidRPr="0083605C" w:rsidRDefault="0083605C" w:rsidP="0083605C">
      <w:pPr>
        <w:pStyle w:val="Geenafstand"/>
        <w:rPr>
          <w:rFonts w:ascii="Verdana" w:hAnsi="Verdana"/>
          <w:szCs w:val="24"/>
        </w:rPr>
      </w:pPr>
    </w:p>
    <w:p w:rsidR="0083605C" w:rsidRPr="0083605C" w:rsidRDefault="0083605C" w:rsidP="0083605C">
      <w:pPr>
        <w:pStyle w:val="Geenafstand"/>
        <w:rPr>
          <w:rFonts w:ascii="Verdana" w:hAnsi="Verdana"/>
          <w:b/>
          <w:iCs/>
          <w:szCs w:val="24"/>
        </w:rPr>
      </w:pPr>
      <w:r w:rsidRPr="0083605C">
        <w:rPr>
          <w:rFonts w:ascii="Verdana" w:hAnsi="Verdana"/>
          <w:b/>
          <w:iCs/>
          <w:szCs w:val="24"/>
        </w:rPr>
        <w:t>De informatietaak</w:t>
      </w:r>
    </w:p>
    <w:p w:rsidR="0083605C" w:rsidRPr="0083605C" w:rsidRDefault="0083605C" w:rsidP="0083605C">
      <w:pPr>
        <w:pStyle w:val="Geenafstand"/>
        <w:rPr>
          <w:rFonts w:ascii="Verdana" w:hAnsi="Verdana"/>
          <w:iCs/>
          <w:szCs w:val="24"/>
        </w:rPr>
      </w:pPr>
      <w:r w:rsidRPr="0083605C">
        <w:rPr>
          <w:rFonts w:ascii="Verdana" w:hAnsi="Verdana"/>
          <w:iCs/>
          <w:szCs w:val="24"/>
        </w:rPr>
        <w:t>In het kader van zijn informatietaak organiseerde het NPK diverse publieksbijeenkomsten en demonstraties, alsmede scholingsbijeenkomsten voor activisten. NPK-ers woonden uit betrokkenheid met andere maatschappelijke problemen bijeenkomsten van derden bij. Ook bracht het NPK gedrukte en digitale publicaties uit. Voorts schreef het NPK talrijke brieven naar kamerleden, kabinet en EU-parlementariërs.</w:t>
      </w:r>
    </w:p>
    <w:p w:rsidR="0083605C" w:rsidRPr="0083605C" w:rsidRDefault="0083605C" w:rsidP="0083605C">
      <w:pPr>
        <w:pStyle w:val="Geenafstand"/>
        <w:rPr>
          <w:rFonts w:ascii="Verdana" w:hAnsi="Verdana"/>
          <w:iCs/>
          <w:szCs w:val="24"/>
        </w:rPr>
      </w:pPr>
    </w:p>
    <w:p w:rsidR="0083605C" w:rsidRPr="0083605C" w:rsidRDefault="0083605C" w:rsidP="0083605C">
      <w:pPr>
        <w:pStyle w:val="Geenafstand"/>
        <w:rPr>
          <w:rFonts w:ascii="Verdana" w:hAnsi="Verdana"/>
          <w:b/>
          <w:iCs/>
          <w:szCs w:val="24"/>
        </w:rPr>
      </w:pPr>
      <w:r w:rsidRPr="0083605C">
        <w:rPr>
          <w:rFonts w:ascii="Verdana" w:hAnsi="Verdana"/>
          <w:b/>
          <w:iCs/>
          <w:szCs w:val="24"/>
        </w:rPr>
        <w:lastRenderedPageBreak/>
        <w:t>Publieksbijeenkomsten</w:t>
      </w:r>
    </w:p>
    <w:p w:rsidR="0083605C" w:rsidRPr="0083605C" w:rsidRDefault="0083605C" w:rsidP="0083605C">
      <w:pPr>
        <w:pStyle w:val="Geenafstand"/>
        <w:rPr>
          <w:rFonts w:ascii="Verdana" w:hAnsi="Verdana"/>
          <w:b/>
          <w:iCs/>
          <w:szCs w:val="24"/>
        </w:rPr>
      </w:pPr>
      <w:r w:rsidRPr="0083605C">
        <w:rPr>
          <w:rFonts w:ascii="Verdana" w:hAnsi="Verdana"/>
          <w:iCs/>
          <w:szCs w:val="24"/>
        </w:rPr>
        <w:t xml:space="preserve">Tijdens de NPK nieuwjaarsbijeenkomst sprak de Palestijnse publicist </w:t>
      </w:r>
      <w:r w:rsidRPr="0083605C">
        <w:rPr>
          <w:rFonts w:ascii="Verdana" w:hAnsi="Verdana"/>
          <w:b/>
          <w:iCs/>
          <w:szCs w:val="24"/>
        </w:rPr>
        <w:t>Mazin Qumsiyeh</w:t>
      </w:r>
      <w:r w:rsidRPr="0083605C">
        <w:rPr>
          <w:rFonts w:ascii="Verdana" w:hAnsi="Verdana"/>
          <w:iCs/>
          <w:szCs w:val="24"/>
        </w:rPr>
        <w:t xml:space="preserve"> over de lange geschiedenis van het vreedzame verzet van de kant van de Palestijnen. Tijdens een NPK bijeenkomst in  februari spraken twee Palestijnse vrouwen </w:t>
      </w:r>
      <w:r w:rsidRPr="0083605C">
        <w:rPr>
          <w:rFonts w:ascii="Verdana" w:hAnsi="Verdana"/>
          <w:b/>
          <w:iCs/>
          <w:szCs w:val="24"/>
        </w:rPr>
        <w:t xml:space="preserve">Manal en Narriman Tamimi </w:t>
      </w:r>
      <w:r w:rsidRPr="0083605C">
        <w:rPr>
          <w:rFonts w:ascii="Verdana" w:hAnsi="Verdana"/>
          <w:iCs/>
          <w:szCs w:val="24"/>
        </w:rPr>
        <w:t>over geweldloos verzet in de dagelijkse praktijk van het dorp Nabi Saleh op de Westelijke Jordaanoever.</w:t>
      </w:r>
    </w:p>
    <w:p w:rsidR="0083605C" w:rsidRPr="0083605C" w:rsidRDefault="0083605C" w:rsidP="0083605C">
      <w:pPr>
        <w:pStyle w:val="Geenafstand"/>
        <w:rPr>
          <w:rFonts w:ascii="Verdana" w:hAnsi="Verdana"/>
          <w:iCs/>
          <w:szCs w:val="24"/>
        </w:rPr>
      </w:pPr>
      <w:r w:rsidRPr="0083605C">
        <w:rPr>
          <w:rFonts w:ascii="Verdana" w:hAnsi="Verdana"/>
          <w:iCs/>
          <w:szCs w:val="24"/>
        </w:rPr>
        <w:t xml:space="preserve">Tijdens de jaarlijks door NPK en bondgenoten georganiseerde Nakba-herdenking spraken </w:t>
      </w:r>
      <w:r w:rsidRPr="0083605C">
        <w:rPr>
          <w:rFonts w:ascii="Verdana" w:hAnsi="Verdana"/>
          <w:b/>
          <w:iCs/>
          <w:szCs w:val="24"/>
        </w:rPr>
        <w:t>oud-premier Dries van Agt, onderzoeker Jaber Soleiman en schrijver Abdelkader Benali</w:t>
      </w:r>
      <w:r w:rsidRPr="0083605C">
        <w:rPr>
          <w:rFonts w:ascii="Verdana" w:hAnsi="Verdana"/>
          <w:iCs/>
          <w:szCs w:val="24"/>
        </w:rPr>
        <w:t>, ondermeer over de vluchtelingensituatie.</w:t>
      </w:r>
    </w:p>
    <w:p w:rsidR="0083605C" w:rsidRPr="0083605C" w:rsidRDefault="0083605C" w:rsidP="0083605C">
      <w:pPr>
        <w:pStyle w:val="Geenafstand"/>
        <w:rPr>
          <w:rFonts w:ascii="Verdana" w:hAnsi="Verdana"/>
          <w:b/>
          <w:iCs/>
          <w:szCs w:val="24"/>
        </w:rPr>
      </w:pPr>
      <w:r w:rsidRPr="0083605C">
        <w:rPr>
          <w:rFonts w:ascii="Verdana" w:hAnsi="Verdana"/>
          <w:iCs/>
          <w:szCs w:val="24"/>
        </w:rPr>
        <w:t xml:space="preserve">Het NPK coördineerde drie bijeenkomsten (in Leiden, Utrecht en Nijmegen) en het kader van de </w:t>
      </w:r>
      <w:r w:rsidRPr="0083605C">
        <w:rPr>
          <w:rFonts w:ascii="Verdana" w:hAnsi="Verdana"/>
          <w:b/>
          <w:iCs/>
          <w:szCs w:val="24"/>
        </w:rPr>
        <w:t xml:space="preserve">Israeli Apartheid Week </w:t>
      </w:r>
      <w:r w:rsidRPr="0083605C">
        <w:rPr>
          <w:rFonts w:ascii="Verdana" w:hAnsi="Verdana"/>
          <w:iCs/>
          <w:szCs w:val="24"/>
        </w:rPr>
        <w:t xml:space="preserve">(IAW). </w:t>
      </w:r>
    </w:p>
    <w:p w:rsidR="0083605C" w:rsidRPr="0083605C" w:rsidRDefault="0083605C" w:rsidP="0083605C">
      <w:pPr>
        <w:pStyle w:val="Geenafstand"/>
        <w:rPr>
          <w:rFonts w:ascii="Verdana" w:hAnsi="Verdana"/>
          <w:b/>
          <w:iCs/>
          <w:szCs w:val="24"/>
        </w:rPr>
      </w:pPr>
      <w:r w:rsidRPr="0083605C">
        <w:rPr>
          <w:rFonts w:ascii="Verdana" w:hAnsi="Verdana"/>
          <w:iCs/>
          <w:szCs w:val="24"/>
        </w:rPr>
        <w:t xml:space="preserve">Ook ontving het NPK  </w:t>
      </w:r>
      <w:r w:rsidRPr="0083605C">
        <w:rPr>
          <w:rFonts w:ascii="Verdana" w:hAnsi="Verdana"/>
          <w:b/>
          <w:iCs/>
          <w:szCs w:val="24"/>
        </w:rPr>
        <w:t>Nadim Nashaf</w:t>
      </w:r>
      <w:r w:rsidRPr="0083605C">
        <w:rPr>
          <w:rFonts w:ascii="Verdana" w:hAnsi="Verdana"/>
          <w:iCs/>
          <w:szCs w:val="24"/>
        </w:rPr>
        <w:t>, de directeur van Baladna in ABC Treehouse.</w:t>
      </w:r>
    </w:p>
    <w:p w:rsidR="0083605C" w:rsidRPr="0083605C" w:rsidRDefault="0083605C" w:rsidP="0083605C">
      <w:pPr>
        <w:pStyle w:val="Geenafstand"/>
        <w:rPr>
          <w:rFonts w:ascii="Verdana" w:hAnsi="Verdana"/>
          <w:b/>
          <w:iCs/>
          <w:szCs w:val="24"/>
        </w:rPr>
      </w:pPr>
      <w:r w:rsidRPr="0083605C">
        <w:rPr>
          <w:rFonts w:ascii="Verdana" w:hAnsi="Verdana"/>
          <w:iCs/>
          <w:szCs w:val="24"/>
        </w:rPr>
        <w:t xml:space="preserve">De Amerikaanse schrijfster en mensenrechtenactivist </w:t>
      </w:r>
      <w:r w:rsidRPr="0083605C">
        <w:rPr>
          <w:rFonts w:ascii="Verdana" w:hAnsi="Verdana"/>
          <w:b/>
          <w:iCs/>
          <w:szCs w:val="24"/>
        </w:rPr>
        <w:t>Phyllis Bennis</w:t>
      </w:r>
      <w:r w:rsidRPr="0083605C">
        <w:rPr>
          <w:rFonts w:ascii="Verdana" w:hAnsi="Verdana"/>
          <w:iCs/>
          <w:szCs w:val="24"/>
        </w:rPr>
        <w:t xml:space="preserve"> sprak voor een NPK bijeenkomst over het Russell Tribunal on Palestine. </w:t>
      </w:r>
    </w:p>
    <w:p w:rsidR="0083605C" w:rsidRPr="0083605C" w:rsidRDefault="0083605C" w:rsidP="0083605C">
      <w:pPr>
        <w:pStyle w:val="Geenafstand"/>
        <w:rPr>
          <w:rFonts w:ascii="Verdana" w:hAnsi="Verdana"/>
          <w:b/>
          <w:iCs/>
          <w:szCs w:val="24"/>
        </w:rPr>
      </w:pPr>
    </w:p>
    <w:p w:rsidR="0083605C" w:rsidRPr="0083605C" w:rsidRDefault="0083605C" w:rsidP="0083605C">
      <w:pPr>
        <w:pStyle w:val="Geenafstand"/>
        <w:rPr>
          <w:rFonts w:ascii="Verdana" w:hAnsi="Verdana"/>
          <w:iCs/>
          <w:szCs w:val="24"/>
        </w:rPr>
      </w:pPr>
      <w:r w:rsidRPr="0083605C">
        <w:rPr>
          <w:rFonts w:ascii="Verdana" w:hAnsi="Verdana"/>
          <w:b/>
          <w:iCs/>
          <w:szCs w:val="24"/>
        </w:rPr>
        <w:t>Demonstraties</w:t>
      </w:r>
    </w:p>
    <w:p w:rsidR="0083605C" w:rsidRPr="0083605C" w:rsidRDefault="0083605C" w:rsidP="0083605C">
      <w:pPr>
        <w:pStyle w:val="Geenafstand"/>
        <w:rPr>
          <w:rFonts w:ascii="Verdana" w:hAnsi="Verdana"/>
          <w:iCs/>
          <w:szCs w:val="24"/>
        </w:rPr>
      </w:pPr>
      <w:r w:rsidRPr="0083605C">
        <w:rPr>
          <w:rFonts w:ascii="Verdana" w:hAnsi="Verdana"/>
          <w:iCs/>
          <w:szCs w:val="24"/>
        </w:rPr>
        <w:t xml:space="preserve">Tijdens het bezoek van de </w:t>
      </w:r>
      <w:r w:rsidRPr="0083605C">
        <w:rPr>
          <w:rFonts w:ascii="Verdana" w:hAnsi="Verdana"/>
          <w:b/>
          <w:iCs/>
          <w:szCs w:val="24"/>
        </w:rPr>
        <w:t>Israelische premier Benjamin Netanyahu</w:t>
      </w:r>
      <w:r w:rsidRPr="0083605C">
        <w:rPr>
          <w:rFonts w:ascii="Verdana" w:hAnsi="Verdana"/>
          <w:iCs/>
          <w:szCs w:val="24"/>
        </w:rPr>
        <w:t xml:space="preserve"> organiseerde het NPK samen met bondgenoten een protestactie op het Plein in Den Haag. Ook nam het deel aan een </w:t>
      </w:r>
      <w:r w:rsidRPr="0083605C">
        <w:rPr>
          <w:rFonts w:ascii="Verdana" w:hAnsi="Verdana"/>
          <w:b/>
          <w:iCs/>
          <w:szCs w:val="24"/>
        </w:rPr>
        <w:t>protestactie</w:t>
      </w:r>
      <w:r w:rsidRPr="0083605C">
        <w:rPr>
          <w:rFonts w:ascii="Verdana" w:hAnsi="Verdana"/>
          <w:iCs/>
          <w:szCs w:val="24"/>
        </w:rPr>
        <w:t xml:space="preserve"> voor de Liberaal-Joodse Synagoge in Amsterdam waar de premier kwam spreken.</w:t>
      </w:r>
    </w:p>
    <w:p w:rsidR="0083605C" w:rsidRPr="0083605C" w:rsidRDefault="0083605C" w:rsidP="0083605C">
      <w:pPr>
        <w:pStyle w:val="Geenafstand"/>
        <w:rPr>
          <w:rFonts w:ascii="Verdana" w:hAnsi="Verdana"/>
          <w:iCs/>
          <w:szCs w:val="24"/>
        </w:rPr>
      </w:pPr>
      <w:r w:rsidRPr="0083605C">
        <w:rPr>
          <w:rFonts w:ascii="Verdana" w:hAnsi="Verdana"/>
          <w:iCs/>
          <w:szCs w:val="24"/>
        </w:rPr>
        <w:t xml:space="preserve">Op de </w:t>
      </w:r>
      <w:r w:rsidRPr="0083605C">
        <w:rPr>
          <w:rFonts w:ascii="Verdana" w:hAnsi="Verdana"/>
          <w:b/>
          <w:iCs/>
          <w:szCs w:val="24"/>
        </w:rPr>
        <w:t>Dag van het Land</w:t>
      </w:r>
      <w:r w:rsidRPr="0083605C">
        <w:rPr>
          <w:rFonts w:ascii="Verdana" w:hAnsi="Verdana"/>
          <w:iCs/>
          <w:szCs w:val="24"/>
        </w:rPr>
        <w:t xml:space="preserve"> organiseerde het NPK samen met bondgenoten aan picketactie op het Plein in Den Haag. In november was er helaas weer aanleiding te demonstreren (‘</w:t>
      </w:r>
      <w:r w:rsidRPr="0083605C">
        <w:rPr>
          <w:rFonts w:ascii="Verdana" w:hAnsi="Verdana"/>
          <w:b/>
          <w:iCs/>
          <w:szCs w:val="24"/>
        </w:rPr>
        <w:t>Stop de aanval op Gaza</w:t>
      </w:r>
      <w:r w:rsidRPr="0083605C">
        <w:rPr>
          <w:rFonts w:ascii="Verdana" w:hAnsi="Verdana"/>
          <w:iCs/>
          <w:szCs w:val="24"/>
        </w:rPr>
        <w:t xml:space="preserve">’) op de Dam in Amsterdam tegen een hernieuwde serie dodelijke Israelische aanvallen op de Strook van Gaza. </w:t>
      </w:r>
    </w:p>
    <w:p w:rsidR="0083605C" w:rsidRPr="0083605C" w:rsidRDefault="0083605C" w:rsidP="0083605C">
      <w:pPr>
        <w:pStyle w:val="Geenafstand"/>
        <w:rPr>
          <w:rFonts w:ascii="Verdana" w:hAnsi="Verdana"/>
          <w:iCs/>
          <w:szCs w:val="24"/>
        </w:rPr>
      </w:pPr>
      <w:r w:rsidRPr="0083605C">
        <w:rPr>
          <w:rFonts w:ascii="Verdana" w:hAnsi="Verdana"/>
          <w:iCs/>
          <w:szCs w:val="24"/>
        </w:rPr>
        <w:t>In december was het NPK op het Museumplein in Amsterdam medeorganisator van een</w:t>
      </w:r>
      <w:r w:rsidRPr="0083605C">
        <w:rPr>
          <w:rFonts w:ascii="Verdana" w:hAnsi="Verdana"/>
          <w:b/>
          <w:iCs/>
          <w:szCs w:val="24"/>
        </w:rPr>
        <w:t xml:space="preserve"> solidariteitswake</w:t>
      </w:r>
      <w:r w:rsidRPr="0083605C">
        <w:rPr>
          <w:rFonts w:ascii="Verdana" w:hAnsi="Verdana"/>
          <w:iCs/>
          <w:szCs w:val="24"/>
        </w:rPr>
        <w:t xml:space="preserve"> voor de slachtoffers van de aanval op Gaza, met aansluitend een goedbezochte </w:t>
      </w:r>
      <w:r w:rsidRPr="0083605C">
        <w:rPr>
          <w:rFonts w:ascii="Verdana" w:hAnsi="Verdana"/>
          <w:b/>
          <w:iCs/>
          <w:szCs w:val="24"/>
        </w:rPr>
        <w:t>s</w:t>
      </w:r>
      <w:r w:rsidRPr="0083605C">
        <w:rPr>
          <w:rFonts w:ascii="Verdana" w:hAnsi="Verdana"/>
          <w:b/>
          <w:iCs/>
          <w:szCs w:val="24"/>
        </w:rPr>
        <w:t>olidariteitsbijeen</w:t>
      </w:r>
      <w:r>
        <w:rPr>
          <w:rFonts w:ascii="Verdana" w:hAnsi="Verdana"/>
          <w:b/>
          <w:iCs/>
          <w:szCs w:val="24"/>
        </w:rPr>
        <w:t>-</w:t>
      </w:r>
      <w:r w:rsidRPr="0083605C">
        <w:rPr>
          <w:rFonts w:ascii="Verdana" w:hAnsi="Verdana"/>
          <w:b/>
          <w:iCs/>
          <w:szCs w:val="24"/>
        </w:rPr>
        <w:t>komst</w:t>
      </w:r>
      <w:r w:rsidRPr="0083605C">
        <w:rPr>
          <w:rFonts w:ascii="Verdana" w:hAnsi="Verdana"/>
          <w:iCs/>
          <w:szCs w:val="24"/>
        </w:rPr>
        <w:t>.</w:t>
      </w:r>
    </w:p>
    <w:p w:rsidR="0083605C" w:rsidRPr="0083605C" w:rsidRDefault="0083605C" w:rsidP="0083605C">
      <w:pPr>
        <w:pStyle w:val="Geenafstand"/>
        <w:rPr>
          <w:rFonts w:ascii="Verdana" w:hAnsi="Verdana"/>
          <w:iCs/>
          <w:szCs w:val="24"/>
        </w:rPr>
      </w:pPr>
    </w:p>
    <w:p w:rsidR="0083605C" w:rsidRPr="0083605C" w:rsidRDefault="0083605C" w:rsidP="0083605C">
      <w:pPr>
        <w:pStyle w:val="Geenafstand"/>
        <w:rPr>
          <w:rFonts w:ascii="Verdana" w:hAnsi="Verdana"/>
          <w:b/>
          <w:iCs/>
          <w:szCs w:val="24"/>
        </w:rPr>
      </w:pPr>
      <w:r w:rsidRPr="0083605C">
        <w:rPr>
          <w:rFonts w:ascii="Verdana" w:hAnsi="Verdana"/>
          <w:b/>
          <w:iCs/>
          <w:szCs w:val="24"/>
        </w:rPr>
        <w:t>Solidariteit met andere organisaties</w:t>
      </w:r>
    </w:p>
    <w:p w:rsidR="0083605C" w:rsidRPr="0083605C" w:rsidRDefault="0083605C" w:rsidP="0083605C">
      <w:pPr>
        <w:pStyle w:val="Geenafstand"/>
        <w:rPr>
          <w:rFonts w:ascii="Verdana" w:hAnsi="Verdana"/>
          <w:iCs/>
          <w:szCs w:val="24"/>
        </w:rPr>
      </w:pPr>
      <w:r w:rsidRPr="0083605C">
        <w:rPr>
          <w:rFonts w:ascii="Verdana" w:hAnsi="Verdana"/>
          <w:iCs/>
          <w:szCs w:val="24"/>
        </w:rPr>
        <w:t>NPK was aanwezig tijdens verschillende activiteiten van derden, zoals bij de Kristalnachtherdenking, de fakkelwake tegen racisme en Islamofobie, de Nakba bijeenkomst in Argan, en het Cast Lead Memorial in Den Haag en Brussel</w:t>
      </w:r>
    </w:p>
    <w:p w:rsidR="0083605C" w:rsidRPr="0083605C" w:rsidRDefault="0083605C" w:rsidP="0083605C">
      <w:pPr>
        <w:pStyle w:val="Geenafstand"/>
        <w:rPr>
          <w:rFonts w:ascii="Verdana" w:hAnsi="Verdana"/>
          <w:iCs/>
          <w:szCs w:val="24"/>
        </w:rPr>
      </w:pPr>
    </w:p>
    <w:p w:rsidR="0083605C" w:rsidRPr="0083605C" w:rsidRDefault="0083605C" w:rsidP="0083605C">
      <w:pPr>
        <w:pStyle w:val="Geenafstand"/>
        <w:rPr>
          <w:rFonts w:ascii="Verdana" w:hAnsi="Verdana"/>
          <w:b/>
          <w:iCs/>
          <w:szCs w:val="24"/>
        </w:rPr>
      </w:pPr>
      <w:r w:rsidRPr="0083605C">
        <w:rPr>
          <w:rFonts w:ascii="Verdana" w:hAnsi="Verdana"/>
          <w:b/>
          <w:iCs/>
          <w:szCs w:val="24"/>
        </w:rPr>
        <w:t xml:space="preserve">Gedrukte en digitale media </w:t>
      </w:r>
    </w:p>
    <w:p w:rsidR="0083605C" w:rsidRPr="0083605C" w:rsidRDefault="0083605C" w:rsidP="0083605C">
      <w:pPr>
        <w:pStyle w:val="Geenafstand"/>
        <w:rPr>
          <w:rFonts w:ascii="Verdana" w:hAnsi="Verdana"/>
          <w:iCs/>
          <w:szCs w:val="24"/>
        </w:rPr>
      </w:pPr>
      <w:r w:rsidRPr="0083605C">
        <w:rPr>
          <w:rFonts w:ascii="Verdana" w:hAnsi="Verdana"/>
          <w:b/>
          <w:iCs/>
          <w:szCs w:val="24"/>
        </w:rPr>
        <w:t>Brochure ‘</w:t>
      </w:r>
      <w:r w:rsidRPr="0083605C">
        <w:rPr>
          <w:rFonts w:ascii="Verdana" w:hAnsi="Verdana"/>
          <w:b/>
          <w:i/>
          <w:iCs/>
          <w:szCs w:val="24"/>
        </w:rPr>
        <w:t>Europa en Palestina</w:t>
      </w:r>
      <w:r w:rsidRPr="0083605C">
        <w:rPr>
          <w:rFonts w:ascii="Verdana" w:hAnsi="Verdana"/>
          <w:b/>
          <w:iCs/>
          <w:szCs w:val="24"/>
        </w:rPr>
        <w:t xml:space="preserve">’ </w:t>
      </w:r>
      <w:r w:rsidRPr="0083605C">
        <w:rPr>
          <w:rFonts w:ascii="Verdana" w:hAnsi="Verdana"/>
          <w:iCs/>
          <w:szCs w:val="24"/>
        </w:rPr>
        <w:t xml:space="preserve">In de serie ‘Europa in de Praktijk’, uitgegeven door Comité Ander Europa, heeft het NPK een brochure van 56 pp. uitgebracht onder de titel ‘Europa en Palestina; over het falen een historische dwaling te helpen rechtzetten’. De brochure is bij het NPK gratis verkrijgbaar. </w:t>
      </w:r>
    </w:p>
    <w:p w:rsidR="0083605C" w:rsidRPr="0083605C" w:rsidRDefault="0083605C" w:rsidP="0083605C">
      <w:pPr>
        <w:pStyle w:val="Geenafstand"/>
        <w:rPr>
          <w:rFonts w:ascii="Verdana" w:hAnsi="Verdana"/>
          <w:b/>
          <w:szCs w:val="24"/>
        </w:rPr>
      </w:pPr>
    </w:p>
    <w:p w:rsidR="0083605C" w:rsidRPr="0083605C" w:rsidRDefault="0083605C" w:rsidP="0083605C">
      <w:pPr>
        <w:pStyle w:val="Geenafstand"/>
        <w:rPr>
          <w:rFonts w:ascii="Verdana" w:hAnsi="Verdana"/>
          <w:szCs w:val="24"/>
        </w:rPr>
      </w:pPr>
      <w:r w:rsidRPr="0083605C">
        <w:rPr>
          <w:rFonts w:ascii="Verdana" w:hAnsi="Verdana"/>
          <w:b/>
          <w:szCs w:val="24"/>
        </w:rPr>
        <w:lastRenderedPageBreak/>
        <w:t>NPK-info</w:t>
      </w:r>
      <w:r w:rsidRPr="0083605C">
        <w:rPr>
          <w:rFonts w:ascii="Verdana" w:hAnsi="Verdana"/>
          <w:szCs w:val="24"/>
        </w:rPr>
        <w:t xml:space="preserve"> is de (gemiddeld) wekelijkse digitale nieuwsbrief die zich vooral richt op de actualiteit - nieuws, activiteiten, opinies en achtergronden uit binnen- en buitenland. Het aantal abonnees nam in 2012 verder toe.</w:t>
      </w:r>
    </w:p>
    <w:p w:rsidR="0083605C" w:rsidRPr="0083605C" w:rsidRDefault="0083605C" w:rsidP="0083605C">
      <w:pPr>
        <w:pStyle w:val="Geenafstand"/>
        <w:rPr>
          <w:rFonts w:ascii="Verdana" w:hAnsi="Verdana"/>
          <w:szCs w:val="24"/>
        </w:rPr>
      </w:pPr>
    </w:p>
    <w:p w:rsidR="0083605C" w:rsidRPr="0083605C" w:rsidRDefault="0083605C" w:rsidP="0083605C">
      <w:pPr>
        <w:pStyle w:val="Geenafstand"/>
        <w:rPr>
          <w:rFonts w:ascii="Verdana" w:hAnsi="Verdana"/>
          <w:szCs w:val="24"/>
        </w:rPr>
      </w:pPr>
      <w:r w:rsidRPr="0083605C">
        <w:rPr>
          <w:rFonts w:ascii="Verdana" w:hAnsi="Verdana"/>
          <w:b/>
          <w:szCs w:val="24"/>
        </w:rPr>
        <w:t>de website www.Palestina-Komitee.nl</w:t>
      </w:r>
      <w:r w:rsidRPr="0083605C">
        <w:rPr>
          <w:rFonts w:ascii="Verdana" w:hAnsi="Verdana"/>
          <w:szCs w:val="24"/>
        </w:rPr>
        <w:t xml:space="preserve"> biedt, naast actuele informatie, tevens het archief van de tweemaandelijkse NPK-publicatie </w:t>
      </w:r>
      <w:r w:rsidRPr="0083605C">
        <w:rPr>
          <w:rFonts w:ascii="Verdana" w:hAnsi="Verdana"/>
          <w:i/>
          <w:iCs/>
          <w:szCs w:val="24"/>
        </w:rPr>
        <w:t xml:space="preserve">Soemoed, </w:t>
      </w:r>
      <w:r w:rsidRPr="0083605C">
        <w:rPr>
          <w:rFonts w:ascii="Verdana" w:hAnsi="Verdana"/>
          <w:iCs/>
          <w:szCs w:val="24"/>
        </w:rPr>
        <w:t xml:space="preserve">met </w:t>
      </w:r>
      <w:r w:rsidRPr="0083605C">
        <w:rPr>
          <w:rFonts w:ascii="Verdana" w:hAnsi="Verdana"/>
          <w:szCs w:val="24"/>
        </w:rPr>
        <w:t xml:space="preserve">belangrijke documenten en opiniërende artikelen. Het aantal bezoeken aan de site is stabiel, met pieken op momenten dat de kwestie Palestina extra in de schijnwerpers stond. Ook is een </w:t>
      </w:r>
      <w:r w:rsidRPr="0083605C">
        <w:rPr>
          <w:rFonts w:ascii="Verdana" w:hAnsi="Verdana"/>
          <w:b/>
          <w:szCs w:val="24"/>
        </w:rPr>
        <w:t>facebook-pagina</w:t>
      </w:r>
      <w:r w:rsidRPr="0083605C">
        <w:rPr>
          <w:rFonts w:ascii="Verdana" w:hAnsi="Verdana"/>
          <w:szCs w:val="24"/>
        </w:rPr>
        <w:t xml:space="preserve"> in gebruik genomen, een medium waarmee vooral de jongere generatie wordt bereikt.</w:t>
      </w:r>
    </w:p>
    <w:p w:rsidR="0083605C" w:rsidRPr="0083605C" w:rsidRDefault="0083605C" w:rsidP="0083605C">
      <w:pPr>
        <w:pStyle w:val="Geenafstand"/>
        <w:rPr>
          <w:rFonts w:ascii="Verdana" w:hAnsi="Verdana"/>
          <w:b/>
          <w:szCs w:val="24"/>
        </w:rPr>
      </w:pPr>
    </w:p>
    <w:p w:rsidR="0083605C" w:rsidRPr="0083605C" w:rsidRDefault="0083605C" w:rsidP="0083605C">
      <w:pPr>
        <w:pStyle w:val="Geenafstand"/>
        <w:rPr>
          <w:rFonts w:ascii="Verdana" w:hAnsi="Verdana"/>
          <w:szCs w:val="24"/>
        </w:rPr>
      </w:pPr>
      <w:r w:rsidRPr="0083605C">
        <w:rPr>
          <w:rFonts w:ascii="Verdana" w:hAnsi="Verdana"/>
          <w:b/>
          <w:szCs w:val="24"/>
        </w:rPr>
        <w:t xml:space="preserve">de tweemaandelijkse publicatie </w:t>
      </w:r>
      <w:r w:rsidRPr="0083605C">
        <w:rPr>
          <w:rFonts w:ascii="Verdana" w:hAnsi="Verdana"/>
          <w:b/>
          <w:i/>
          <w:iCs/>
          <w:szCs w:val="24"/>
        </w:rPr>
        <w:t>Soemoed</w:t>
      </w:r>
      <w:r w:rsidRPr="0083605C">
        <w:rPr>
          <w:rFonts w:ascii="Verdana" w:hAnsi="Verdana"/>
          <w:szCs w:val="24"/>
        </w:rPr>
        <w:t xml:space="preserve"> ging in 2012 haar 40</w:t>
      </w:r>
      <w:r w:rsidRPr="0083605C">
        <w:rPr>
          <w:rFonts w:ascii="Verdana" w:hAnsi="Verdana"/>
          <w:szCs w:val="24"/>
          <w:vertAlign w:val="superscript"/>
        </w:rPr>
        <w:t>e</w:t>
      </w:r>
      <w:r w:rsidRPr="0083605C">
        <w:rPr>
          <w:rFonts w:ascii="Verdana" w:hAnsi="Verdana"/>
          <w:szCs w:val="24"/>
        </w:rPr>
        <w:t xml:space="preserve"> jaargang in. Via </w:t>
      </w:r>
      <w:r w:rsidRPr="0083605C">
        <w:rPr>
          <w:rFonts w:ascii="Verdana" w:hAnsi="Verdana"/>
          <w:i/>
          <w:iCs/>
          <w:szCs w:val="24"/>
        </w:rPr>
        <w:t>Soemoed</w:t>
      </w:r>
      <w:r w:rsidRPr="0083605C">
        <w:rPr>
          <w:rFonts w:ascii="Verdana" w:hAnsi="Verdana"/>
          <w:szCs w:val="24"/>
        </w:rPr>
        <w:t xml:space="preserve"> verschaft het NPK kritische, alternatieve en originele opinies en analyses, waarbij vooral ook Palestijnen aan het woord worden gelaten. Ruime aandacht is besteed aan ondermeer de Palestijnse economie, de BDS-campagne, Palestijnse politieke gevangenen, de positie van Palestijnen in Israel en de situatie in en rond de Strook van Gaza. Vanwege de mogelijke effecten op de strijd van de Palestijnen is in de kolommen van </w:t>
      </w:r>
      <w:r w:rsidRPr="0083605C">
        <w:rPr>
          <w:rFonts w:ascii="Verdana" w:hAnsi="Verdana"/>
          <w:i/>
          <w:iCs/>
          <w:szCs w:val="24"/>
        </w:rPr>
        <w:t>Soemoed</w:t>
      </w:r>
      <w:r w:rsidRPr="0083605C">
        <w:rPr>
          <w:rFonts w:ascii="Verdana" w:hAnsi="Verdana"/>
          <w:szCs w:val="24"/>
        </w:rPr>
        <w:t xml:space="preserve"> eveneens ruim aandacht geschonken aan de Arabische Lente. Het abonneebestand is in 2012 vrijwel stabiel gebleven. </w:t>
      </w:r>
    </w:p>
    <w:p w:rsidR="0083605C" w:rsidRPr="0083605C" w:rsidRDefault="0083605C" w:rsidP="0083605C">
      <w:pPr>
        <w:spacing w:line="240" w:lineRule="auto"/>
        <w:rPr>
          <w:rFonts w:ascii="Verdana" w:hAnsi="Verdana"/>
          <w:b/>
          <w:sz w:val="24"/>
          <w:szCs w:val="24"/>
        </w:rPr>
      </w:pPr>
    </w:p>
    <w:p w:rsidR="0083605C" w:rsidRPr="0083605C" w:rsidRDefault="0083605C" w:rsidP="0083605C">
      <w:pPr>
        <w:spacing w:line="240" w:lineRule="auto"/>
        <w:rPr>
          <w:rFonts w:ascii="Verdana" w:hAnsi="Verdana"/>
          <w:b/>
          <w:sz w:val="24"/>
          <w:szCs w:val="24"/>
        </w:rPr>
      </w:pPr>
      <w:r w:rsidRPr="0083605C">
        <w:rPr>
          <w:rFonts w:ascii="Verdana" w:hAnsi="Verdana"/>
          <w:b/>
          <w:sz w:val="24"/>
          <w:szCs w:val="24"/>
        </w:rPr>
        <w:t xml:space="preserve">BDS Campagne, boycot, desinvesteren en sancties </w:t>
      </w:r>
    </w:p>
    <w:p w:rsidR="0083605C" w:rsidRPr="0083605C" w:rsidRDefault="0083605C" w:rsidP="0083605C">
      <w:pPr>
        <w:spacing w:after="0" w:line="240" w:lineRule="auto"/>
        <w:rPr>
          <w:rFonts w:ascii="Verdana" w:hAnsi="Verdana"/>
          <w:b/>
          <w:sz w:val="24"/>
          <w:szCs w:val="24"/>
        </w:rPr>
      </w:pPr>
      <w:r w:rsidRPr="0083605C">
        <w:rPr>
          <w:rFonts w:ascii="Verdana" w:hAnsi="Verdana"/>
          <w:b/>
          <w:sz w:val="24"/>
          <w:szCs w:val="24"/>
        </w:rPr>
        <w:t>Boycot</w:t>
      </w:r>
    </w:p>
    <w:p w:rsidR="0083605C" w:rsidRPr="0083605C" w:rsidRDefault="0083605C" w:rsidP="0083605C">
      <w:pPr>
        <w:spacing w:after="0" w:line="240" w:lineRule="auto"/>
        <w:rPr>
          <w:rFonts w:ascii="Verdana" w:hAnsi="Verdana"/>
          <w:sz w:val="24"/>
          <w:szCs w:val="24"/>
        </w:rPr>
      </w:pPr>
      <w:r w:rsidRPr="0083605C">
        <w:rPr>
          <w:rFonts w:ascii="Verdana" w:hAnsi="Verdana"/>
          <w:sz w:val="24"/>
          <w:szCs w:val="24"/>
        </w:rPr>
        <w:t>De campagne ‘Koop geen Israelische Apartheid’ die het NPK uitvoerde samen met andere organisaties in het netwerk ‘Samenwerken voor Palestina’ heeft vervolg gekregen in een overleg met levensmiddelenbedrijven. Het NPK neemt hier namens het netwerk in deel. Doel is producten uit de illegale nederzettingen uit te schappen te krijgen, en de bedrijven die hierin handelen buiten spel te zetten.</w:t>
      </w:r>
    </w:p>
    <w:p w:rsidR="0083605C" w:rsidRPr="0083605C" w:rsidRDefault="0083605C" w:rsidP="0083605C">
      <w:pPr>
        <w:spacing w:after="0" w:line="240" w:lineRule="auto"/>
        <w:rPr>
          <w:rFonts w:ascii="Verdana" w:hAnsi="Verdana"/>
          <w:b/>
          <w:sz w:val="24"/>
          <w:szCs w:val="24"/>
        </w:rPr>
      </w:pPr>
    </w:p>
    <w:p w:rsidR="0083605C" w:rsidRPr="0083605C" w:rsidRDefault="0083605C" w:rsidP="0083605C">
      <w:pPr>
        <w:spacing w:after="0" w:line="240" w:lineRule="auto"/>
        <w:rPr>
          <w:rFonts w:ascii="Verdana" w:hAnsi="Verdana"/>
          <w:b/>
          <w:sz w:val="24"/>
          <w:szCs w:val="24"/>
        </w:rPr>
      </w:pPr>
    </w:p>
    <w:p w:rsidR="0083605C" w:rsidRPr="0083605C" w:rsidRDefault="0083605C" w:rsidP="0083605C">
      <w:pPr>
        <w:spacing w:after="0" w:line="240" w:lineRule="auto"/>
        <w:rPr>
          <w:rFonts w:ascii="Verdana" w:hAnsi="Verdana"/>
          <w:b/>
          <w:sz w:val="24"/>
          <w:szCs w:val="24"/>
        </w:rPr>
      </w:pPr>
      <w:r w:rsidRPr="0083605C">
        <w:rPr>
          <w:rFonts w:ascii="Verdana" w:hAnsi="Verdana"/>
          <w:b/>
          <w:sz w:val="24"/>
          <w:szCs w:val="24"/>
        </w:rPr>
        <w:t xml:space="preserve">Desinvesteren </w:t>
      </w:r>
    </w:p>
    <w:p w:rsidR="0083605C" w:rsidRPr="0083605C" w:rsidRDefault="0083605C" w:rsidP="0083605C">
      <w:pPr>
        <w:spacing w:after="0" w:line="240" w:lineRule="auto"/>
        <w:rPr>
          <w:rFonts w:ascii="Verdana" w:hAnsi="Verdana"/>
          <w:sz w:val="24"/>
          <w:szCs w:val="24"/>
        </w:rPr>
      </w:pPr>
      <w:r w:rsidRPr="0083605C">
        <w:rPr>
          <w:rFonts w:ascii="Verdana" w:hAnsi="Verdana"/>
          <w:sz w:val="24"/>
          <w:szCs w:val="24"/>
        </w:rPr>
        <w:t xml:space="preserve">Het Pensioenfonds Zorg en Welzijn (PFZW) lijkt zich de kritiek van ondermeer het NPK te hebben aangetrokken, want in zijn berichtgeving over Verantwoord Beleggen kondigde het aan niet langer te investeren in een aanzienlijk aantal wapenproducenten, waaronder het israelische Elbit Systems en Raythion. Wij zullen PFZW echter kritisch blijven volgen. </w:t>
      </w:r>
    </w:p>
    <w:p w:rsidR="0083605C" w:rsidRPr="0083605C" w:rsidRDefault="0083605C" w:rsidP="0083605C">
      <w:pPr>
        <w:spacing w:after="0" w:line="240" w:lineRule="auto"/>
        <w:rPr>
          <w:rFonts w:ascii="Verdana" w:hAnsi="Verdana"/>
          <w:sz w:val="24"/>
          <w:szCs w:val="24"/>
        </w:rPr>
      </w:pPr>
    </w:p>
    <w:p w:rsidR="0083605C" w:rsidRPr="0083605C" w:rsidRDefault="0083605C" w:rsidP="0083605C">
      <w:pPr>
        <w:spacing w:after="0" w:line="240" w:lineRule="auto"/>
        <w:rPr>
          <w:rFonts w:ascii="Verdana" w:hAnsi="Verdana"/>
          <w:b/>
          <w:sz w:val="24"/>
          <w:szCs w:val="24"/>
        </w:rPr>
      </w:pPr>
      <w:r w:rsidRPr="0083605C">
        <w:rPr>
          <w:rFonts w:ascii="Verdana" w:hAnsi="Verdana"/>
          <w:b/>
          <w:sz w:val="24"/>
          <w:szCs w:val="24"/>
        </w:rPr>
        <w:t>Sancties</w:t>
      </w:r>
    </w:p>
    <w:p w:rsidR="0083605C" w:rsidRPr="0083605C" w:rsidRDefault="0083605C" w:rsidP="0083605C">
      <w:pPr>
        <w:spacing w:after="0" w:line="240" w:lineRule="auto"/>
        <w:rPr>
          <w:rFonts w:ascii="Verdana" w:hAnsi="Verdana"/>
          <w:sz w:val="24"/>
          <w:szCs w:val="24"/>
        </w:rPr>
      </w:pPr>
      <w:r w:rsidRPr="0083605C">
        <w:rPr>
          <w:rFonts w:ascii="Verdana" w:hAnsi="Verdana"/>
          <w:sz w:val="24"/>
          <w:szCs w:val="24"/>
        </w:rPr>
        <w:t xml:space="preserve">In de regio’s Den Haag en Utrecht was sprake van aanbesteding van het regiovervoer. Veolia, een bedrijf dat steun verleent aan Israel bij ondermeer de bouw van een illegale tramlijn over Palestijns bezet gebied, was één van de mededingers. In het kader van de campagne ‘Nee tegen </w:t>
      </w:r>
      <w:r w:rsidRPr="0083605C">
        <w:rPr>
          <w:rFonts w:ascii="Verdana" w:hAnsi="Verdana"/>
          <w:sz w:val="24"/>
          <w:szCs w:val="24"/>
        </w:rPr>
        <w:lastRenderedPageBreak/>
        <w:t>fout OV!’ heeft NPK zich samen met lokale partners ingezet om te voorkomen dat de contracten aan Veolia zouden worden toegekend. Met succes: noch in Den Haag noch in Utrecht heeft Veolia het vervoerscontract gewonnen.</w:t>
      </w:r>
    </w:p>
    <w:p w:rsidR="0083605C" w:rsidRPr="0083605C" w:rsidRDefault="0083605C" w:rsidP="0083605C">
      <w:pPr>
        <w:spacing w:line="240" w:lineRule="auto"/>
        <w:rPr>
          <w:rFonts w:ascii="Verdana" w:hAnsi="Verdana"/>
          <w:sz w:val="24"/>
          <w:szCs w:val="24"/>
        </w:rPr>
      </w:pPr>
      <w:r w:rsidRPr="0083605C">
        <w:rPr>
          <w:rFonts w:ascii="Verdana" w:hAnsi="Verdana"/>
          <w:sz w:val="24"/>
          <w:szCs w:val="24"/>
        </w:rPr>
        <w:t>In Europees verband heeft het NPK samen met zijn Europese partnernetwerk ECCP actief deelgenomen aan de campagne tegen een nieuwe handelsovereenkomst (ACAA) tussen de EU en Israel. Zeer velen in Nederland namen deel aan de NPK petitie over ACAA. Desondanks stemde het Europese Parlement in oktober met een krappe meerderheid in met de overeenkomst.</w:t>
      </w:r>
    </w:p>
    <w:p w:rsidR="0083605C" w:rsidRPr="0083605C" w:rsidRDefault="0083605C" w:rsidP="0083605C">
      <w:pPr>
        <w:spacing w:after="0" w:line="240" w:lineRule="auto"/>
        <w:rPr>
          <w:rStyle w:val="Zwaar"/>
          <w:rFonts w:ascii="Verdana" w:hAnsi="Verdana"/>
          <w:sz w:val="24"/>
          <w:szCs w:val="24"/>
        </w:rPr>
      </w:pPr>
      <w:r w:rsidRPr="0083605C">
        <w:rPr>
          <w:rStyle w:val="Zwaar"/>
          <w:rFonts w:ascii="Verdana" w:hAnsi="Verdana"/>
          <w:sz w:val="24"/>
          <w:szCs w:val="24"/>
        </w:rPr>
        <w:t>Professionalisering van BDS</w:t>
      </w:r>
    </w:p>
    <w:p w:rsidR="0083605C" w:rsidRPr="0083605C" w:rsidRDefault="0083605C" w:rsidP="0083605C">
      <w:pPr>
        <w:spacing w:after="0" w:line="240" w:lineRule="auto"/>
        <w:rPr>
          <w:rStyle w:val="Zwaar"/>
          <w:rFonts w:ascii="Verdana" w:hAnsi="Verdana"/>
          <w:b w:val="0"/>
          <w:sz w:val="24"/>
          <w:szCs w:val="24"/>
        </w:rPr>
      </w:pPr>
      <w:r w:rsidRPr="0083605C">
        <w:rPr>
          <w:rStyle w:val="Zwaar"/>
          <w:rFonts w:ascii="Verdana" w:hAnsi="Verdana"/>
          <w:b w:val="0"/>
          <w:sz w:val="24"/>
          <w:szCs w:val="24"/>
        </w:rPr>
        <w:t xml:space="preserve">Het netwerk ‘Samenwerken voor Palestina’, waarvan het NPK tot voor kort de coördinatie voerde, sprak zich in een evaluatie uit voor professionalisering van de BDS campagne. Met een parttime betaalde kracht om de campagne aan te jagen en het netwerk van actievoerders te ondersteunen. Dit leidde tot de oprichting van de Stichting Diensten en Onderzoek Centrum Palestina (docP, </w:t>
      </w:r>
      <w:hyperlink r:id="rId5" w:history="1">
        <w:r w:rsidRPr="0083605C">
          <w:rPr>
            <w:rStyle w:val="Hyperlink"/>
            <w:rFonts w:ascii="Verdana" w:hAnsi="Verdana"/>
            <w:color w:val="auto"/>
            <w:sz w:val="24"/>
            <w:szCs w:val="24"/>
            <w:u w:val="none"/>
          </w:rPr>
          <w:t>www.docp.nl</w:t>
        </w:r>
      </w:hyperlink>
      <w:r w:rsidRPr="0083605C">
        <w:rPr>
          <w:rStyle w:val="Zwaar"/>
          <w:rFonts w:ascii="Verdana" w:hAnsi="Verdana"/>
          <w:b w:val="0"/>
          <w:sz w:val="24"/>
          <w:szCs w:val="24"/>
        </w:rPr>
        <w:t>), waarvoor in oktober de aftrap is gegeven. Het NPK heeft de startperiode van dit initiatief gefinancierd. Naast het versterken van de BDS-campagne in Nederland en het stimuleren en ondersteunen van locale activiteiten, hebben de aangeslotenen bij docP gekozen voor twee eerste speerpunten: een campagne tegen nederzettingenproducten (‘Apartheidsfruit de winkel uit’) en eentje tegen het beveiligingsbedrijf G4S. Uiteraard blijft het NPK zowel binnen als buiten docP zelf ook actief in de BDS beweging.</w:t>
      </w:r>
    </w:p>
    <w:p w:rsidR="0083605C" w:rsidRPr="0083605C" w:rsidRDefault="0083605C" w:rsidP="0083605C">
      <w:pPr>
        <w:spacing w:after="0" w:line="240" w:lineRule="auto"/>
        <w:rPr>
          <w:rStyle w:val="Zwaar"/>
          <w:rFonts w:ascii="Verdana" w:hAnsi="Verdana"/>
          <w:b w:val="0"/>
          <w:sz w:val="24"/>
          <w:szCs w:val="24"/>
        </w:rPr>
      </w:pPr>
    </w:p>
    <w:p w:rsidR="0083605C" w:rsidRPr="0083605C" w:rsidRDefault="0083605C" w:rsidP="0083605C">
      <w:pPr>
        <w:spacing w:after="0" w:line="240" w:lineRule="auto"/>
        <w:rPr>
          <w:rStyle w:val="Zwaar"/>
          <w:rFonts w:ascii="Verdana" w:hAnsi="Verdana"/>
          <w:b w:val="0"/>
          <w:sz w:val="24"/>
          <w:szCs w:val="24"/>
        </w:rPr>
      </w:pPr>
      <w:r w:rsidRPr="0083605C">
        <w:rPr>
          <w:rStyle w:val="Zwaar"/>
          <w:rFonts w:ascii="Verdana" w:hAnsi="Verdana"/>
          <w:bCs w:val="0"/>
          <w:sz w:val="24"/>
          <w:szCs w:val="24"/>
        </w:rPr>
        <w:t>Humanitaire acties</w:t>
      </w:r>
    </w:p>
    <w:p w:rsidR="0083605C" w:rsidRPr="0083605C" w:rsidRDefault="0083605C" w:rsidP="0083605C">
      <w:pPr>
        <w:spacing w:after="0" w:line="240" w:lineRule="auto"/>
        <w:rPr>
          <w:rStyle w:val="Zwaar"/>
          <w:rFonts w:ascii="Verdana" w:hAnsi="Verdana"/>
          <w:b w:val="0"/>
          <w:sz w:val="24"/>
          <w:szCs w:val="24"/>
        </w:rPr>
      </w:pPr>
      <w:r w:rsidRPr="0083605C">
        <w:rPr>
          <w:rStyle w:val="Zwaar"/>
          <w:rFonts w:ascii="Verdana" w:hAnsi="Verdana"/>
          <w:b w:val="0"/>
          <w:sz w:val="24"/>
          <w:szCs w:val="24"/>
        </w:rPr>
        <w:t>Het NPK was in staat bij te dragen aan een drietal humanitaire acties, te weten donaties aan het Vrouwenstudiefonds (voor vrouwen inde in 1967 bezette Palestijnse Gebieden, de actie Medicijnen voor Gaza, en voor de slachtoffers van de Israelische aanval op de Strook van Gaza in novembe</w:t>
      </w:r>
    </w:p>
    <w:p w:rsidR="0083605C" w:rsidRPr="0083605C" w:rsidRDefault="0083605C" w:rsidP="0083605C">
      <w:pPr>
        <w:spacing w:after="0" w:line="240" w:lineRule="auto"/>
        <w:rPr>
          <w:rStyle w:val="Zwaar"/>
          <w:rFonts w:ascii="Verdana" w:hAnsi="Verdana"/>
          <w:b w:val="0"/>
          <w:sz w:val="24"/>
          <w:szCs w:val="24"/>
        </w:rPr>
      </w:pPr>
    </w:p>
    <w:p w:rsidR="0083605C" w:rsidRPr="0083605C" w:rsidRDefault="0083605C" w:rsidP="0083605C">
      <w:pPr>
        <w:spacing w:after="0" w:line="240" w:lineRule="auto"/>
        <w:rPr>
          <w:rStyle w:val="Zwaar"/>
          <w:rFonts w:ascii="Verdana" w:hAnsi="Verdana"/>
          <w:sz w:val="24"/>
          <w:szCs w:val="24"/>
        </w:rPr>
      </w:pPr>
      <w:r w:rsidRPr="0083605C">
        <w:rPr>
          <w:rStyle w:val="Zwaar"/>
          <w:rFonts w:ascii="Verdana" w:hAnsi="Verdana"/>
          <w:sz w:val="24"/>
          <w:szCs w:val="24"/>
        </w:rPr>
        <w:t>Overige nationale en internationale contacten</w:t>
      </w:r>
    </w:p>
    <w:p w:rsidR="0083605C" w:rsidRPr="0083605C" w:rsidRDefault="0083605C" w:rsidP="0083605C">
      <w:pPr>
        <w:spacing w:line="240" w:lineRule="auto"/>
        <w:rPr>
          <w:rStyle w:val="Zwaar"/>
          <w:rFonts w:ascii="Verdana" w:hAnsi="Verdana"/>
          <w:b w:val="0"/>
          <w:bCs w:val="0"/>
          <w:sz w:val="24"/>
          <w:szCs w:val="24"/>
        </w:rPr>
      </w:pPr>
      <w:r w:rsidRPr="0083605C">
        <w:rPr>
          <w:rStyle w:val="Zwaar"/>
          <w:rFonts w:ascii="Verdana" w:hAnsi="Verdana"/>
          <w:b w:val="0"/>
          <w:bCs w:val="0"/>
          <w:sz w:val="24"/>
          <w:szCs w:val="24"/>
        </w:rPr>
        <w:t xml:space="preserve">Het NPK was actief in verschillende nationale en internationale fora en netwerken. Zo namen NPK-leden ondermeer deel aan de Taskforce Palestina, de Werkgroep Midden-Oosten van GroenLinks, de Palestina-werkgroep van AbvaKabo FNV. </w:t>
      </w:r>
    </w:p>
    <w:p w:rsidR="0083605C" w:rsidRPr="0083605C" w:rsidRDefault="0083605C" w:rsidP="0083605C">
      <w:pPr>
        <w:tabs>
          <w:tab w:val="left" w:pos="851"/>
        </w:tabs>
        <w:spacing w:after="0" w:line="240" w:lineRule="auto"/>
        <w:rPr>
          <w:rFonts w:ascii="Verdana" w:hAnsi="Verdana"/>
          <w:b/>
          <w:sz w:val="24"/>
          <w:szCs w:val="24"/>
        </w:rPr>
      </w:pPr>
      <w:r w:rsidRPr="0083605C">
        <w:rPr>
          <w:rFonts w:ascii="Verdana" w:hAnsi="Verdana"/>
          <w:b/>
          <w:sz w:val="24"/>
          <w:szCs w:val="24"/>
        </w:rPr>
        <w:t xml:space="preserve">De ECCP </w:t>
      </w:r>
    </w:p>
    <w:p w:rsidR="0083605C" w:rsidRPr="0083605C" w:rsidRDefault="0083605C" w:rsidP="0083605C">
      <w:pPr>
        <w:spacing w:after="0" w:line="240" w:lineRule="auto"/>
        <w:rPr>
          <w:rFonts w:ascii="Verdana" w:hAnsi="Verdana"/>
          <w:sz w:val="24"/>
          <w:szCs w:val="24"/>
        </w:rPr>
      </w:pPr>
      <w:r w:rsidRPr="0083605C">
        <w:rPr>
          <w:rFonts w:ascii="Verdana" w:hAnsi="Verdana"/>
          <w:sz w:val="24"/>
          <w:szCs w:val="24"/>
        </w:rPr>
        <w:t xml:space="preserve">Sinds 2003 is het NPK actief lid van ECCP, een samenwerkingsverband van Palestina solidariteitsorganisaties uit bijna heel Europa. ECCP werkt nauw samen met diverse Palestijnse partners; de Europese vertegenwoordiger van de BNC neemt ook deel aan de vergaderingen, waarin wij om de drie maanden bij elkaar komen. De ECCP coördineert in samenwerking met haar leden campagnes en petities op EU-niveau en op het niveau van lidstaten, vooral op het terrein van BDS.  Voorbeeldenzijn de succesvolle campagne tegen verlenging van het EU contract met de </w:t>
      </w:r>
      <w:r w:rsidRPr="0083605C">
        <w:rPr>
          <w:rFonts w:ascii="Verdana" w:hAnsi="Verdana"/>
          <w:sz w:val="24"/>
          <w:szCs w:val="24"/>
        </w:rPr>
        <w:lastRenderedPageBreak/>
        <w:t xml:space="preserve">(Brits-Deens) mega-beveiligingsbedrijf G4S, dat de beveiliging van alle EU gebouwen verzorgde, maar wiens contract niet is verlengd;  een Intensieve campagne tegen ACAA (nieuwe handelsovereenkomst met Israel), en doorlopende campagnes zoals voor opschorting van het Associatie Verdrag, en voor een EU verbod op de import van nederzettingenproducten. </w:t>
      </w:r>
    </w:p>
    <w:p w:rsidR="0083605C" w:rsidRPr="0083605C" w:rsidRDefault="0083605C" w:rsidP="0083605C">
      <w:pPr>
        <w:spacing w:line="240" w:lineRule="auto"/>
        <w:rPr>
          <w:rFonts w:ascii="Verdana" w:hAnsi="Verdana"/>
          <w:sz w:val="24"/>
          <w:szCs w:val="24"/>
        </w:rPr>
      </w:pPr>
      <w:r w:rsidRPr="0083605C">
        <w:rPr>
          <w:rFonts w:ascii="Verdana" w:hAnsi="Verdana"/>
          <w:sz w:val="24"/>
          <w:szCs w:val="24"/>
        </w:rPr>
        <w:t>De aanwezigheid van een betaalde ECCP coördinator is bij dit alles van groot belang. Deze voert ook  gesprekken met ambtelijke  vertegenwoordigers bij de EU en Europarlementariërs,  en reikt voor het hele Europese netwerk belangrijke informatie aan over plannen en acties van de EU. Daarnaast is de ECCP een coördinatiepunt voor activiteiten in Sociale Fora en andere internationale activiteiten. (</w:t>
      </w:r>
      <w:hyperlink r:id="rId6" w:history="1">
        <w:r w:rsidRPr="0083605C">
          <w:rPr>
            <w:rStyle w:val="Hyperlink"/>
            <w:rFonts w:ascii="Verdana" w:hAnsi="Verdana"/>
            <w:i/>
            <w:iCs/>
            <w:sz w:val="24"/>
            <w:szCs w:val="24"/>
            <w:u w:val="none"/>
          </w:rPr>
          <w:t>http://www.eccpalestine.org</w:t>
        </w:r>
      </w:hyperlink>
      <w:r w:rsidRPr="0083605C">
        <w:rPr>
          <w:rFonts w:ascii="Verdana" w:hAnsi="Verdana"/>
          <w:i/>
          <w:iCs/>
          <w:sz w:val="24"/>
          <w:szCs w:val="24"/>
        </w:rPr>
        <w:t>)</w:t>
      </w:r>
    </w:p>
    <w:p w:rsidR="0083605C" w:rsidRPr="0083605C" w:rsidRDefault="0083605C" w:rsidP="0083605C">
      <w:pPr>
        <w:pStyle w:val="ListParagraph"/>
        <w:spacing w:after="0" w:line="240" w:lineRule="auto"/>
        <w:ind w:left="0"/>
        <w:rPr>
          <w:rFonts w:ascii="Verdana" w:hAnsi="Verdana"/>
          <w:b/>
          <w:bCs/>
          <w:noProof/>
          <w:sz w:val="24"/>
          <w:szCs w:val="24"/>
        </w:rPr>
      </w:pPr>
      <w:r w:rsidRPr="0083605C">
        <w:rPr>
          <w:rFonts w:ascii="Verdana" w:hAnsi="Verdana"/>
          <w:b/>
          <w:bCs/>
          <w:noProof/>
          <w:sz w:val="24"/>
          <w:szCs w:val="24"/>
        </w:rPr>
        <w:t>Gecoördineerd activisme</w:t>
      </w:r>
    </w:p>
    <w:p w:rsidR="0083605C" w:rsidRPr="0083605C" w:rsidRDefault="0083605C" w:rsidP="0083605C">
      <w:pPr>
        <w:pStyle w:val="ListParagraph"/>
        <w:spacing w:after="0" w:line="240" w:lineRule="auto"/>
        <w:ind w:left="0"/>
        <w:rPr>
          <w:rFonts w:ascii="Verdana" w:hAnsi="Verdana"/>
          <w:sz w:val="24"/>
          <w:szCs w:val="24"/>
        </w:rPr>
      </w:pPr>
      <w:r w:rsidRPr="0083605C">
        <w:rPr>
          <w:rFonts w:ascii="Verdana" w:hAnsi="Verdana"/>
          <w:bCs/>
          <w:noProof/>
          <w:sz w:val="24"/>
          <w:szCs w:val="24"/>
        </w:rPr>
        <w:t xml:space="preserve">Internationale netwerken waren van groot belang voor NPKs werk op diverse terreinen, met name BDS.  Voorbeelden zijn de campagnes tegen Mehadrin, Veolia, Agrexco etc. Deze digitale netwerken zijn van onschatbare waarde voor de uitwisseling van informatie en delen van ervaringen en vragen. De Palestijnse Boycott National Committee (BNC) speelt in de aansturing van deze netwerken een onmisbare rol.  </w:t>
      </w:r>
    </w:p>
    <w:p w:rsidR="0083605C" w:rsidRPr="0083605C" w:rsidRDefault="0083605C" w:rsidP="0083605C">
      <w:pPr>
        <w:tabs>
          <w:tab w:val="left" w:pos="851"/>
        </w:tabs>
        <w:spacing w:after="0" w:line="240" w:lineRule="auto"/>
        <w:rPr>
          <w:rFonts w:ascii="Verdana" w:hAnsi="Verdana"/>
          <w:b/>
          <w:sz w:val="24"/>
          <w:szCs w:val="24"/>
        </w:rPr>
      </w:pPr>
    </w:p>
    <w:p w:rsidR="0083605C" w:rsidRPr="0083605C" w:rsidRDefault="0083605C" w:rsidP="0083605C">
      <w:pPr>
        <w:tabs>
          <w:tab w:val="left" w:pos="851"/>
        </w:tabs>
        <w:spacing w:after="0" w:line="240" w:lineRule="auto"/>
        <w:rPr>
          <w:rFonts w:ascii="Verdana" w:hAnsi="Verdana"/>
          <w:b/>
          <w:sz w:val="24"/>
          <w:szCs w:val="24"/>
        </w:rPr>
      </w:pPr>
      <w:r w:rsidRPr="0083605C">
        <w:rPr>
          <w:rFonts w:ascii="Verdana" w:hAnsi="Verdana"/>
          <w:b/>
          <w:sz w:val="24"/>
          <w:szCs w:val="24"/>
        </w:rPr>
        <w:t>Het Russell Tribunal on Palestine (RToP)</w:t>
      </w:r>
    </w:p>
    <w:p w:rsidR="0083605C" w:rsidRPr="0083605C" w:rsidRDefault="0083605C" w:rsidP="0083605C">
      <w:pPr>
        <w:tabs>
          <w:tab w:val="left" w:pos="851"/>
        </w:tabs>
        <w:spacing w:after="0" w:line="240" w:lineRule="auto"/>
        <w:rPr>
          <w:rFonts w:ascii="Verdana" w:hAnsi="Verdana"/>
          <w:i/>
          <w:iCs/>
          <w:sz w:val="24"/>
          <w:szCs w:val="24"/>
        </w:rPr>
      </w:pPr>
      <w:r w:rsidRPr="0083605C">
        <w:rPr>
          <w:rFonts w:ascii="Verdana" w:hAnsi="Verdana" w:cs="Arial"/>
          <w:spacing w:val="-3"/>
          <w:sz w:val="24"/>
          <w:szCs w:val="24"/>
        </w:rPr>
        <w:t>In oktober 2012</w:t>
      </w:r>
      <w:r w:rsidRPr="0083605C">
        <w:rPr>
          <w:rFonts w:ascii="Verdana" w:hAnsi="Verdana" w:cs="Arial"/>
          <w:sz w:val="24"/>
          <w:szCs w:val="24"/>
        </w:rPr>
        <w:t xml:space="preserve"> woonde een vertegenwoordiger van het NPK de Vierde Sessie van het Tribunaal in New York bij, dat zich focuste op de </w:t>
      </w:r>
      <w:r w:rsidRPr="0083605C">
        <w:rPr>
          <w:rFonts w:ascii="Verdana" w:hAnsi="Verdana" w:cs="Arial"/>
          <w:spacing w:val="-3"/>
          <w:sz w:val="24"/>
          <w:szCs w:val="24"/>
        </w:rPr>
        <w:t>‘</w:t>
      </w:r>
      <w:r w:rsidRPr="0083605C">
        <w:rPr>
          <w:rFonts w:ascii="Verdana" w:hAnsi="Verdana" w:cs="Arial"/>
          <w:i/>
          <w:iCs/>
          <w:spacing w:val="-3"/>
          <w:sz w:val="24"/>
          <w:szCs w:val="24"/>
        </w:rPr>
        <w:t>Verantwoordelijkheid van de Verenigde Naties en de Verenigde Staten bij het ontzeggen van het recht van het Palestijnse volk op zelfbeschikking</w:t>
      </w:r>
      <w:r w:rsidRPr="0083605C">
        <w:rPr>
          <w:rFonts w:ascii="Verdana" w:hAnsi="Verdana" w:cs="Arial"/>
          <w:spacing w:val="-3"/>
          <w:sz w:val="24"/>
          <w:szCs w:val="24"/>
        </w:rPr>
        <w:t xml:space="preserve">’. Evenals andere sessie van het RToP leverde ook deze sessie veel nieuwe informatie op die van grote steun is voor ons werk.  Het NPK berichtte over deze sessie in de </w:t>
      </w:r>
      <w:r w:rsidRPr="0083605C">
        <w:rPr>
          <w:rFonts w:ascii="Verdana" w:hAnsi="Verdana" w:cs="Arial"/>
          <w:i/>
          <w:spacing w:val="-3"/>
          <w:sz w:val="24"/>
          <w:szCs w:val="24"/>
        </w:rPr>
        <w:t>Soemoed</w:t>
      </w:r>
      <w:r w:rsidRPr="0083605C">
        <w:rPr>
          <w:rFonts w:ascii="Verdana" w:hAnsi="Verdana" w:cs="Arial"/>
          <w:spacing w:val="-3"/>
          <w:sz w:val="24"/>
          <w:szCs w:val="24"/>
        </w:rPr>
        <w:t xml:space="preserve"> van november-december 2012. (</w:t>
      </w:r>
      <w:hyperlink r:id="rId7" w:history="1">
        <w:r w:rsidRPr="0083605C">
          <w:rPr>
            <w:rStyle w:val="Hyperlink"/>
            <w:rFonts w:ascii="Verdana" w:hAnsi="Verdana"/>
            <w:i/>
            <w:iCs/>
            <w:sz w:val="24"/>
            <w:szCs w:val="24"/>
            <w:u w:val="none"/>
          </w:rPr>
          <w:t>http://www.russelltribunalonpalestine.com/en</w:t>
        </w:r>
      </w:hyperlink>
      <w:r w:rsidRPr="0083605C">
        <w:rPr>
          <w:rFonts w:ascii="Verdana" w:hAnsi="Verdana"/>
          <w:i/>
          <w:iCs/>
          <w:sz w:val="24"/>
          <w:szCs w:val="24"/>
        </w:rPr>
        <w:t>)</w:t>
      </w:r>
    </w:p>
    <w:p w:rsidR="0083605C" w:rsidRPr="0083605C" w:rsidRDefault="0083605C" w:rsidP="0083605C">
      <w:pPr>
        <w:tabs>
          <w:tab w:val="left" w:pos="851"/>
        </w:tabs>
        <w:spacing w:after="0" w:line="240" w:lineRule="auto"/>
        <w:rPr>
          <w:rFonts w:ascii="Verdana" w:hAnsi="Verdana"/>
          <w:i/>
          <w:iCs/>
          <w:sz w:val="24"/>
          <w:szCs w:val="24"/>
        </w:rPr>
      </w:pPr>
    </w:p>
    <w:p w:rsidR="0083605C" w:rsidRPr="0083605C" w:rsidRDefault="0083605C" w:rsidP="0083605C">
      <w:pPr>
        <w:tabs>
          <w:tab w:val="left" w:pos="851"/>
        </w:tabs>
        <w:spacing w:after="0" w:line="240" w:lineRule="auto"/>
        <w:rPr>
          <w:rFonts w:ascii="Verdana" w:hAnsi="Verdana"/>
          <w:i/>
          <w:iCs/>
          <w:sz w:val="24"/>
          <w:szCs w:val="24"/>
        </w:rPr>
      </w:pPr>
    </w:p>
    <w:p w:rsidR="0083605C" w:rsidRPr="0083605C" w:rsidRDefault="0083605C" w:rsidP="0083605C">
      <w:pPr>
        <w:tabs>
          <w:tab w:val="left" w:pos="851"/>
        </w:tabs>
        <w:spacing w:after="0" w:line="240" w:lineRule="auto"/>
        <w:rPr>
          <w:rFonts w:ascii="Verdana" w:hAnsi="Verdana"/>
          <w:b/>
          <w:bCs/>
          <w:sz w:val="24"/>
          <w:szCs w:val="24"/>
        </w:rPr>
      </w:pPr>
      <w:r w:rsidRPr="0083605C">
        <w:rPr>
          <w:rFonts w:ascii="Verdana" w:hAnsi="Verdana"/>
          <w:b/>
          <w:bCs/>
          <w:sz w:val="24"/>
          <w:szCs w:val="24"/>
        </w:rPr>
        <w:t>Tot slot</w:t>
      </w:r>
    </w:p>
    <w:p w:rsidR="0083605C" w:rsidRPr="0083605C" w:rsidRDefault="0083605C" w:rsidP="0083605C">
      <w:pPr>
        <w:tabs>
          <w:tab w:val="left" w:pos="851"/>
        </w:tabs>
        <w:spacing w:after="0" w:line="240" w:lineRule="auto"/>
        <w:rPr>
          <w:rFonts w:ascii="Verdana" w:hAnsi="Verdana"/>
          <w:b/>
          <w:bCs/>
          <w:sz w:val="24"/>
          <w:szCs w:val="24"/>
        </w:rPr>
      </w:pPr>
    </w:p>
    <w:p w:rsidR="0083605C" w:rsidRPr="0083605C" w:rsidRDefault="0083605C" w:rsidP="0083605C">
      <w:pPr>
        <w:spacing w:line="240" w:lineRule="auto"/>
        <w:rPr>
          <w:rFonts w:ascii="Verdana" w:hAnsi="Verdana"/>
          <w:sz w:val="24"/>
          <w:szCs w:val="24"/>
        </w:rPr>
      </w:pPr>
      <w:r w:rsidRPr="0083605C">
        <w:rPr>
          <w:rFonts w:ascii="Verdana" w:hAnsi="Verdana"/>
          <w:sz w:val="24"/>
          <w:szCs w:val="24"/>
        </w:rPr>
        <w:t>Het NPK weet zich gesteund door een trouwe aanhang van donateurs, vrienden en vrijwilligers. Het Komitee is hen zeer erkentelijk voor al hun bijdragen. Zonder hen is het werk niet mogelijk.</w:t>
      </w:r>
      <w:r>
        <w:rPr>
          <w:rFonts w:ascii="Verdana" w:hAnsi="Verdana"/>
          <w:sz w:val="24"/>
          <w:szCs w:val="24"/>
        </w:rPr>
        <w:t xml:space="preserve"> </w:t>
      </w:r>
    </w:p>
    <w:tbl>
      <w:tblPr>
        <w:tblW w:w="9031" w:type="dxa"/>
        <w:tblInd w:w="55" w:type="dxa"/>
        <w:tblCellMar>
          <w:left w:w="70" w:type="dxa"/>
          <w:right w:w="70" w:type="dxa"/>
        </w:tblCellMar>
        <w:tblLook w:val="0000" w:firstRow="0" w:lastRow="0" w:firstColumn="0" w:lastColumn="0" w:noHBand="0" w:noVBand="0"/>
      </w:tblPr>
      <w:tblGrid>
        <w:gridCol w:w="3139"/>
        <w:gridCol w:w="991"/>
        <w:gridCol w:w="225"/>
        <w:gridCol w:w="3685"/>
        <w:gridCol w:w="991"/>
      </w:tblGrid>
      <w:tr w:rsidR="0083605C" w:rsidRPr="0083605C" w:rsidTr="0083605C">
        <w:trPr>
          <w:trHeight w:val="375"/>
        </w:trPr>
        <w:tc>
          <w:tcPr>
            <w:tcW w:w="9031" w:type="dxa"/>
            <w:gridSpan w:val="5"/>
            <w:tcBorders>
              <w:top w:val="nil"/>
              <w:left w:val="nil"/>
              <w:bottom w:val="nil"/>
              <w:right w:val="nil"/>
            </w:tcBorders>
            <w:shd w:val="clear" w:color="auto" w:fill="auto"/>
            <w:noWrap/>
            <w:vAlign w:val="bottom"/>
          </w:tcPr>
          <w:p w:rsidR="0083605C" w:rsidRDefault="0083605C" w:rsidP="00467A7C">
            <w:pPr>
              <w:spacing w:line="240" w:lineRule="auto"/>
              <w:rPr>
                <w:rFonts w:ascii="Verdana" w:hAnsi="Verdana"/>
                <w:sz w:val="24"/>
                <w:szCs w:val="24"/>
              </w:rPr>
            </w:pPr>
            <w:r w:rsidRPr="0083605C">
              <w:rPr>
                <w:rFonts w:ascii="Verdana" w:hAnsi="Verdana"/>
                <w:sz w:val="24"/>
                <w:szCs w:val="24"/>
              </w:rPr>
              <w:t xml:space="preserve">Een groot aantal abonnees van </w:t>
            </w:r>
            <w:r w:rsidRPr="0083605C">
              <w:rPr>
                <w:rFonts w:ascii="Verdana" w:hAnsi="Verdana"/>
                <w:i/>
                <w:sz w:val="24"/>
                <w:szCs w:val="24"/>
              </w:rPr>
              <w:t>Soemoed</w:t>
            </w:r>
            <w:r w:rsidRPr="0083605C">
              <w:rPr>
                <w:rFonts w:ascii="Verdana" w:hAnsi="Verdana"/>
                <w:sz w:val="24"/>
                <w:szCs w:val="24"/>
              </w:rPr>
              <w:t xml:space="preserve"> steunde ook dit blad met een donatie. Deze kwamen geheel ten goede van </w:t>
            </w:r>
            <w:r w:rsidRPr="0083605C">
              <w:rPr>
                <w:rFonts w:ascii="Verdana" w:hAnsi="Verdana"/>
                <w:i/>
                <w:sz w:val="24"/>
                <w:szCs w:val="24"/>
              </w:rPr>
              <w:t>Soemoed</w:t>
            </w:r>
            <w:r w:rsidRPr="0083605C">
              <w:rPr>
                <w:rFonts w:ascii="Verdana" w:hAnsi="Verdana"/>
                <w:sz w:val="24"/>
                <w:szCs w:val="24"/>
              </w:rPr>
              <w:t xml:space="preserve">. Hierdoor bleven inkomsten en uitgaven in evenwicht. </w:t>
            </w:r>
          </w:p>
          <w:p w:rsidR="0083605C" w:rsidRPr="0083605C" w:rsidRDefault="0083605C" w:rsidP="00467A7C">
            <w:pPr>
              <w:spacing w:line="240" w:lineRule="auto"/>
              <w:rPr>
                <w:rFonts w:ascii="Verdana" w:hAnsi="Verdana" w:cs="Arial"/>
                <w:b/>
                <w:bCs/>
                <w:sz w:val="24"/>
                <w:szCs w:val="24"/>
              </w:rPr>
            </w:pPr>
            <w:r w:rsidRPr="0083605C">
              <w:rPr>
                <w:rFonts w:ascii="Verdana" w:hAnsi="Verdana"/>
                <w:sz w:val="24"/>
                <w:szCs w:val="24"/>
              </w:rPr>
              <w:t>In 2013 hopen wij weer met volle inzet op te komen voor de rechten van de Palestijnen, samen met u en gesteund door al onze vrienden, donateurs en netwerken in Nederland, Palestina en elders.</w:t>
            </w:r>
          </w:p>
          <w:p w:rsidR="0083605C" w:rsidRPr="0083605C" w:rsidRDefault="0083605C" w:rsidP="0083605C">
            <w:pPr>
              <w:spacing w:line="240" w:lineRule="auto"/>
              <w:rPr>
                <w:rFonts w:ascii="Verdana" w:hAnsi="Verdana" w:cs="Arial"/>
                <w:b/>
                <w:bCs/>
                <w:sz w:val="24"/>
                <w:szCs w:val="24"/>
              </w:rPr>
            </w:pPr>
            <w:r w:rsidRPr="0083605C">
              <w:rPr>
                <w:rFonts w:ascii="Verdana" w:hAnsi="Verdana" w:cs="Arial"/>
                <w:b/>
                <w:bCs/>
                <w:sz w:val="24"/>
                <w:szCs w:val="24"/>
              </w:rPr>
              <w:lastRenderedPageBreak/>
              <w:t>Financiële verantwoording donaties en uitgaven  in euro's</w:t>
            </w:r>
          </w:p>
        </w:tc>
      </w:tr>
      <w:tr w:rsidR="0083605C" w:rsidRPr="0083605C" w:rsidTr="0083605C">
        <w:trPr>
          <w:trHeight w:val="330"/>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r>
      <w:tr w:rsidR="0083605C" w:rsidRPr="0083605C" w:rsidTr="0083605C">
        <w:trPr>
          <w:trHeight w:val="330"/>
        </w:trPr>
        <w:tc>
          <w:tcPr>
            <w:tcW w:w="3139" w:type="dxa"/>
            <w:tcBorders>
              <w:top w:val="nil"/>
              <w:left w:val="nil"/>
              <w:bottom w:val="single" w:sz="4" w:space="0" w:color="auto"/>
              <w:right w:val="nil"/>
            </w:tcBorders>
            <w:shd w:val="clear" w:color="auto" w:fill="auto"/>
            <w:noWrap/>
            <w:vAlign w:val="bottom"/>
          </w:tcPr>
          <w:p w:rsidR="0083605C" w:rsidRPr="0083605C" w:rsidRDefault="0083605C" w:rsidP="00467A7C">
            <w:pPr>
              <w:rPr>
                <w:rFonts w:ascii="Verdana" w:hAnsi="Verdana" w:cs="Arial"/>
                <w:b/>
                <w:bCs/>
                <w:sz w:val="24"/>
                <w:szCs w:val="24"/>
              </w:rPr>
            </w:pPr>
            <w:r w:rsidRPr="0083605C">
              <w:rPr>
                <w:rFonts w:ascii="Verdana" w:hAnsi="Verdana" w:cs="Arial"/>
                <w:b/>
                <w:bCs/>
                <w:sz w:val="24"/>
                <w:szCs w:val="24"/>
              </w:rPr>
              <w:t>ONTVANGEN DONATIES</w:t>
            </w:r>
          </w:p>
        </w:tc>
        <w:tc>
          <w:tcPr>
            <w:tcW w:w="991" w:type="dxa"/>
            <w:tcBorders>
              <w:top w:val="nil"/>
              <w:left w:val="nil"/>
              <w:bottom w:val="single" w:sz="4" w:space="0" w:color="auto"/>
              <w:right w:val="nil"/>
            </w:tcBorders>
            <w:shd w:val="clear" w:color="auto" w:fill="auto"/>
            <w:noWrap/>
            <w:vAlign w:val="bottom"/>
          </w:tcPr>
          <w:p w:rsidR="0083605C" w:rsidRPr="0083605C" w:rsidRDefault="0083605C" w:rsidP="00467A7C">
            <w:pPr>
              <w:rPr>
                <w:rFonts w:ascii="Verdana" w:hAnsi="Verdana" w:cs="Arial"/>
                <w:sz w:val="24"/>
                <w:szCs w:val="24"/>
              </w:rPr>
            </w:pPr>
            <w:r w:rsidRPr="0083605C">
              <w:rPr>
                <w:rFonts w:ascii="Verdana" w:hAnsi="Verdana" w:cs="Arial"/>
                <w:sz w:val="24"/>
                <w:szCs w:val="24"/>
              </w:rPr>
              <w:t> </w:t>
            </w:r>
          </w:p>
        </w:tc>
        <w:tc>
          <w:tcPr>
            <w:tcW w:w="225" w:type="dxa"/>
            <w:tcBorders>
              <w:top w:val="nil"/>
              <w:left w:val="nil"/>
              <w:bottom w:val="single" w:sz="4" w:space="0" w:color="auto"/>
              <w:right w:val="nil"/>
            </w:tcBorders>
            <w:shd w:val="clear" w:color="auto" w:fill="auto"/>
            <w:noWrap/>
            <w:vAlign w:val="bottom"/>
          </w:tcPr>
          <w:p w:rsidR="0083605C" w:rsidRPr="0083605C" w:rsidRDefault="0083605C" w:rsidP="00467A7C">
            <w:pPr>
              <w:rPr>
                <w:rFonts w:ascii="Verdana" w:hAnsi="Verdana" w:cs="Arial"/>
                <w:sz w:val="24"/>
                <w:szCs w:val="24"/>
              </w:rPr>
            </w:pPr>
            <w:r w:rsidRPr="0083605C">
              <w:rPr>
                <w:rFonts w:ascii="Verdana" w:hAnsi="Verdana" w:cs="Arial"/>
                <w:sz w:val="24"/>
                <w:szCs w:val="24"/>
              </w:rPr>
              <w:t> </w:t>
            </w:r>
          </w:p>
        </w:tc>
        <w:tc>
          <w:tcPr>
            <w:tcW w:w="3685" w:type="dxa"/>
            <w:tcBorders>
              <w:top w:val="nil"/>
              <w:left w:val="nil"/>
              <w:bottom w:val="single" w:sz="4" w:space="0" w:color="auto"/>
              <w:right w:val="nil"/>
            </w:tcBorders>
            <w:shd w:val="clear" w:color="auto" w:fill="auto"/>
            <w:noWrap/>
            <w:vAlign w:val="bottom"/>
          </w:tcPr>
          <w:p w:rsidR="0083605C" w:rsidRPr="0083605C" w:rsidRDefault="0083605C" w:rsidP="00467A7C">
            <w:pPr>
              <w:rPr>
                <w:rFonts w:ascii="Verdana" w:hAnsi="Verdana" w:cs="Arial"/>
                <w:b/>
                <w:bCs/>
                <w:sz w:val="24"/>
                <w:szCs w:val="24"/>
              </w:rPr>
            </w:pPr>
            <w:r w:rsidRPr="0083605C">
              <w:rPr>
                <w:rFonts w:ascii="Verdana" w:hAnsi="Verdana" w:cs="Arial"/>
                <w:b/>
                <w:bCs/>
                <w:sz w:val="24"/>
                <w:szCs w:val="24"/>
              </w:rPr>
              <w:t>UITGAVEN</w:t>
            </w:r>
          </w:p>
        </w:tc>
        <w:tc>
          <w:tcPr>
            <w:tcW w:w="991" w:type="dxa"/>
            <w:tcBorders>
              <w:top w:val="nil"/>
              <w:left w:val="nil"/>
              <w:bottom w:val="single" w:sz="4" w:space="0" w:color="auto"/>
              <w:right w:val="nil"/>
            </w:tcBorders>
            <w:shd w:val="clear" w:color="auto" w:fill="auto"/>
            <w:noWrap/>
            <w:vAlign w:val="bottom"/>
          </w:tcPr>
          <w:p w:rsidR="0083605C" w:rsidRPr="0083605C" w:rsidRDefault="0083605C" w:rsidP="00467A7C">
            <w:pPr>
              <w:rPr>
                <w:rFonts w:ascii="Verdana" w:hAnsi="Verdana" w:cs="Arial"/>
                <w:sz w:val="24"/>
                <w:szCs w:val="24"/>
              </w:rPr>
            </w:pPr>
            <w:r w:rsidRPr="0083605C">
              <w:rPr>
                <w:rFonts w:ascii="Verdana" w:hAnsi="Verdana" w:cs="Arial"/>
                <w:sz w:val="24"/>
                <w:szCs w:val="24"/>
              </w:rPr>
              <w:t> </w:t>
            </w:r>
          </w:p>
        </w:tc>
      </w:tr>
      <w:tr w:rsidR="0083605C" w:rsidRPr="0083605C" w:rsidTr="0083605C">
        <w:trPr>
          <w:trHeight w:val="330"/>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bookmarkStart w:id="0" w:name="_GoBack"/>
            <w:bookmarkEnd w:id="0"/>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r>
      <w:tr w:rsidR="0083605C" w:rsidRPr="0083605C" w:rsidTr="0083605C">
        <w:trPr>
          <w:trHeight w:val="330"/>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r w:rsidRPr="0083605C">
              <w:rPr>
                <w:rFonts w:ascii="Verdana" w:hAnsi="Verdana" w:cs="Arial"/>
                <w:sz w:val="24"/>
                <w:szCs w:val="24"/>
              </w:rPr>
              <w:t>donaties aan SPP</w:t>
            </w:r>
          </w:p>
        </w:tc>
        <w:tc>
          <w:tcPr>
            <w:tcW w:w="991" w:type="dxa"/>
            <w:tcBorders>
              <w:top w:val="nil"/>
              <w:left w:val="nil"/>
              <w:bottom w:val="nil"/>
              <w:right w:val="nil"/>
            </w:tcBorders>
            <w:shd w:val="clear" w:color="auto" w:fill="auto"/>
            <w:noWrap/>
            <w:vAlign w:val="bottom"/>
          </w:tcPr>
          <w:p w:rsidR="0083605C" w:rsidRPr="0083605C" w:rsidRDefault="0083605C" w:rsidP="00467A7C">
            <w:pPr>
              <w:jc w:val="right"/>
              <w:rPr>
                <w:rFonts w:ascii="Verdana" w:hAnsi="Verdana" w:cs="Arial"/>
                <w:sz w:val="24"/>
                <w:szCs w:val="24"/>
              </w:rPr>
            </w:pPr>
            <w:r w:rsidRPr="0083605C">
              <w:rPr>
                <w:rFonts w:ascii="Verdana" w:hAnsi="Verdana" w:cs="Arial"/>
                <w:sz w:val="24"/>
                <w:szCs w:val="24"/>
              </w:rPr>
              <w:t>7.641</w:t>
            </w: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r w:rsidRPr="0083605C">
              <w:rPr>
                <w:rFonts w:ascii="Verdana" w:hAnsi="Verdana" w:cs="Arial"/>
                <w:sz w:val="24"/>
                <w:szCs w:val="24"/>
              </w:rPr>
              <w:t>huisvesting, kantoor/organisatie</w:t>
            </w:r>
          </w:p>
        </w:tc>
        <w:tc>
          <w:tcPr>
            <w:tcW w:w="991" w:type="dxa"/>
            <w:tcBorders>
              <w:top w:val="nil"/>
              <w:left w:val="nil"/>
              <w:bottom w:val="nil"/>
              <w:right w:val="nil"/>
            </w:tcBorders>
            <w:shd w:val="clear" w:color="auto" w:fill="auto"/>
            <w:noWrap/>
            <w:vAlign w:val="bottom"/>
          </w:tcPr>
          <w:p w:rsidR="0083605C" w:rsidRPr="0083605C" w:rsidRDefault="0083605C" w:rsidP="00467A7C">
            <w:pPr>
              <w:jc w:val="right"/>
              <w:rPr>
                <w:rFonts w:ascii="Verdana" w:hAnsi="Verdana" w:cs="Arial"/>
                <w:sz w:val="24"/>
                <w:szCs w:val="24"/>
              </w:rPr>
            </w:pPr>
            <w:r w:rsidRPr="0083605C">
              <w:rPr>
                <w:rFonts w:ascii="Verdana" w:hAnsi="Verdana" w:cs="Arial"/>
                <w:sz w:val="24"/>
                <w:szCs w:val="24"/>
              </w:rPr>
              <w:t>13.425</w:t>
            </w:r>
          </w:p>
        </w:tc>
      </w:tr>
      <w:tr w:rsidR="0083605C" w:rsidRPr="0083605C" w:rsidTr="0083605C">
        <w:trPr>
          <w:trHeight w:val="330"/>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r>
      <w:tr w:rsidR="0083605C" w:rsidRPr="0083605C" w:rsidTr="0083605C">
        <w:trPr>
          <w:trHeight w:val="330"/>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r w:rsidRPr="0083605C">
              <w:rPr>
                <w:rFonts w:ascii="Verdana" w:hAnsi="Verdana" w:cs="Arial"/>
                <w:sz w:val="24"/>
                <w:szCs w:val="24"/>
              </w:rPr>
              <w:t>donaties aan NPK</w:t>
            </w:r>
          </w:p>
        </w:tc>
        <w:tc>
          <w:tcPr>
            <w:tcW w:w="991" w:type="dxa"/>
            <w:tcBorders>
              <w:top w:val="nil"/>
              <w:left w:val="nil"/>
              <w:bottom w:val="nil"/>
              <w:right w:val="nil"/>
            </w:tcBorders>
            <w:shd w:val="clear" w:color="auto" w:fill="auto"/>
            <w:noWrap/>
            <w:vAlign w:val="bottom"/>
          </w:tcPr>
          <w:p w:rsidR="0083605C" w:rsidRPr="0083605C" w:rsidRDefault="0083605C" w:rsidP="00467A7C">
            <w:pPr>
              <w:jc w:val="right"/>
              <w:rPr>
                <w:rFonts w:ascii="Verdana" w:hAnsi="Verdana" w:cs="Arial"/>
                <w:sz w:val="24"/>
                <w:szCs w:val="24"/>
              </w:rPr>
            </w:pPr>
            <w:r w:rsidRPr="0083605C">
              <w:rPr>
                <w:rFonts w:ascii="Verdana" w:hAnsi="Verdana" w:cs="Arial"/>
                <w:sz w:val="24"/>
                <w:szCs w:val="24"/>
              </w:rPr>
              <w:t>27.793</w:t>
            </w: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i/>
                <w:sz w:val="24"/>
                <w:szCs w:val="24"/>
              </w:rPr>
            </w:pPr>
            <w:r w:rsidRPr="0083605C">
              <w:rPr>
                <w:rFonts w:ascii="Verdana" w:hAnsi="Verdana" w:cs="Arial"/>
                <w:i/>
                <w:sz w:val="24"/>
                <w:szCs w:val="24"/>
              </w:rPr>
              <w:t>Soemoed</w:t>
            </w:r>
          </w:p>
        </w:tc>
        <w:tc>
          <w:tcPr>
            <w:tcW w:w="991" w:type="dxa"/>
            <w:tcBorders>
              <w:top w:val="nil"/>
              <w:left w:val="nil"/>
              <w:bottom w:val="nil"/>
              <w:right w:val="nil"/>
            </w:tcBorders>
            <w:shd w:val="clear" w:color="auto" w:fill="auto"/>
            <w:noWrap/>
            <w:vAlign w:val="bottom"/>
          </w:tcPr>
          <w:p w:rsidR="0083605C" w:rsidRPr="0083605C" w:rsidRDefault="0083605C" w:rsidP="00467A7C">
            <w:pPr>
              <w:jc w:val="right"/>
              <w:rPr>
                <w:rFonts w:ascii="Verdana" w:hAnsi="Verdana" w:cs="Arial"/>
                <w:sz w:val="24"/>
                <w:szCs w:val="24"/>
              </w:rPr>
            </w:pPr>
            <w:r w:rsidRPr="0083605C">
              <w:rPr>
                <w:rFonts w:ascii="Verdana" w:hAnsi="Verdana" w:cs="Arial"/>
                <w:sz w:val="24"/>
                <w:szCs w:val="24"/>
              </w:rPr>
              <w:t>7.641</w:t>
            </w:r>
          </w:p>
        </w:tc>
      </w:tr>
      <w:tr w:rsidR="0083605C" w:rsidRPr="0083605C" w:rsidTr="0083605C">
        <w:trPr>
          <w:trHeight w:val="330"/>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r>
      <w:tr w:rsidR="0083605C" w:rsidRPr="0083605C" w:rsidTr="0083605C">
        <w:trPr>
          <w:trHeight w:val="330"/>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r w:rsidRPr="0083605C">
              <w:rPr>
                <w:rFonts w:ascii="Verdana" w:hAnsi="Verdana" w:cs="Arial"/>
                <w:sz w:val="24"/>
                <w:szCs w:val="24"/>
              </w:rPr>
              <w:t>studiebeurs Palestijnse vrouwen</w:t>
            </w:r>
          </w:p>
        </w:tc>
        <w:tc>
          <w:tcPr>
            <w:tcW w:w="991" w:type="dxa"/>
            <w:tcBorders>
              <w:top w:val="nil"/>
              <w:left w:val="nil"/>
              <w:bottom w:val="nil"/>
              <w:right w:val="nil"/>
            </w:tcBorders>
            <w:shd w:val="clear" w:color="auto" w:fill="auto"/>
            <w:noWrap/>
            <w:vAlign w:val="bottom"/>
          </w:tcPr>
          <w:p w:rsidR="0083605C" w:rsidRPr="0083605C" w:rsidRDefault="0083605C" w:rsidP="00467A7C">
            <w:pPr>
              <w:jc w:val="right"/>
              <w:rPr>
                <w:rFonts w:ascii="Verdana" w:hAnsi="Verdana" w:cs="Arial"/>
                <w:sz w:val="24"/>
                <w:szCs w:val="24"/>
              </w:rPr>
            </w:pPr>
            <w:r w:rsidRPr="0083605C">
              <w:rPr>
                <w:rFonts w:ascii="Verdana" w:hAnsi="Verdana" w:cs="Arial"/>
                <w:sz w:val="24"/>
                <w:szCs w:val="24"/>
              </w:rPr>
              <w:t>2.000</w:t>
            </w:r>
          </w:p>
        </w:tc>
      </w:tr>
      <w:tr w:rsidR="0083605C" w:rsidRPr="0083605C" w:rsidTr="0083605C">
        <w:trPr>
          <w:trHeight w:val="330"/>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r>
      <w:tr w:rsidR="0083605C" w:rsidRPr="0083605C" w:rsidTr="0083605C">
        <w:trPr>
          <w:trHeight w:val="330"/>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r w:rsidRPr="0083605C">
              <w:rPr>
                <w:rFonts w:ascii="Verdana" w:hAnsi="Verdana" w:cs="Arial"/>
                <w:sz w:val="24"/>
                <w:szCs w:val="24"/>
              </w:rPr>
              <w:t>medicijnen voor Gaza</w:t>
            </w:r>
          </w:p>
        </w:tc>
        <w:tc>
          <w:tcPr>
            <w:tcW w:w="991" w:type="dxa"/>
            <w:tcBorders>
              <w:top w:val="nil"/>
              <w:left w:val="nil"/>
              <w:bottom w:val="nil"/>
              <w:right w:val="nil"/>
            </w:tcBorders>
            <w:shd w:val="clear" w:color="auto" w:fill="auto"/>
            <w:noWrap/>
            <w:vAlign w:val="bottom"/>
          </w:tcPr>
          <w:p w:rsidR="0083605C" w:rsidRPr="0083605C" w:rsidRDefault="0083605C" w:rsidP="00467A7C">
            <w:pPr>
              <w:jc w:val="right"/>
              <w:rPr>
                <w:rFonts w:ascii="Verdana" w:hAnsi="Verdana" w:cs="Arial"/>
                <w:sz w:val="24"/>
                <w:szCs w:val="24"/>
              </w:rPr>
            </w:pPr>
            <w:r w:rsidRPr="0083605C">
              <w:rPr>
                <w:rFonts w:ascii="Verdana" w:hAnsi="Verdana" w:cs="Arial"/>
                <w:sz w:val="24"/>
                <w:szCs w:val="24"/>
              </w:rPr>
              <w:t>1.000</w:t>
            </w:r>
          </w:p>
        </w:tc>
      </w:tr>
      <w:tr w:rsidR="0083605C" w:rsidRPr="0083605C" w:rsidTr="0083605C">
        <w:trPr>
          <w:trHeight w:val="330"/>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r>
      <w:tr w:rsidR="0083605C" w:rsidRPr="0083605C" w:rsidTr="0083605C">
        <w:trPr>
          <w:trHeight w:val="330"/>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r w:rsidRPr="0083605C">
              <w:rPr>
                <w:rFonts w:ascii="Verdana" w:hAnsi="Verdana" w:cs="Arial"/>
                <w:sz w:val="24"/>
                <w:szCs w:val="24"/>
              </w:rPr>
              <w:t>acties, bijeenkomsten, BDS</w:t>
            </w:r>
          </w:p>
        </w:tc>
        <w:tc>
          <w:tcPr>
            <w:tcW w:w="991" w:type="dxa"/>
            <w:tcBorders>
              <w:top w:val="nil"/>
              <w:left w:val="nil"/>
              <w:bottom w:val="nil"/>
              <w:right w:val="nil"/>
            </w:tcBorders>
            <w:shd w:val="clear" w:color="auto" w:fill="auto"/>
            <w:noWrap/>
            <w:vAlign w:val="bottom"/>
          </w:tcPr>
          <w:p w:rsidR="0083605C" w:rsidRPr="0083605C" w:rsidRDefault="0083605C" w:rsidP="00467A7C">
            <w:pPr>
              <w:jc w:val="right"/>
              <w:rPr>
                <w:rFonts w:ascii="Verdana" w:hAnsi="Verdana" w:cs="Arial"/>
                <w:sz w:val="24"/>
                <w:szCs w:val="24"/>
              </w:rPr>
            </w:pPr>
            <w:r w:rsidRPr="0083605C">
              <w:rPr>
                <w:rFonts w:ascii="Verdana" w:hAnsi="Verdana" w:cs="Arial"/>
                <w:sz w:val="24"/>
                <w:szCs w:val="24"/>
              </w:rPr>
              <w:t>8.656</w:t>
            </w:r>
          </w:p>
        </w:tc>
      </w:tr>
      <w:tr w:rsidR="0083605C" w:rsidRPr="0083605C" w:rsidTr="0083605C">
        <w:trPr>
          <w:trHeight w:val="330"/>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r>
      <w:tr w:rsidR="0083605C" w:rsidRPr="0083605C" w:rsidTr="0083605C">
        <w:trPr>
          <w:trHeight w:val="330"/>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r w:rsidRPr="0083605C">
              <w:rPr>
                <w:rFonts w:ascii="Verdana" w:hAnsi="Verdana" w:cs="Arial"/>
                <w:sz w:val="24"/>
                <w:szCs w:val="24"/>
              </w:rPr>
              <w:t>Palestijnse weeskinderen</w:t>
            </w:r>
          </w:p>
        </w:tc>
        <w:tc>
          <w:tcPr>
            <w:tcW w:w="991" w:type="dxa"/>
            <w:tcBorders>
              <w:top w:val="nil"/>
              <w:left w:val="nil"/>
              <w:bottom w:val="nil"/>
              <w:right w:val="nil"/>
            </w:tcBorders>
            <w:shd w:val="clear" w:color="auto" w:fill="auto"/>
            <w:noWrap/>
            <w:vAlign w:val="bottom"/>
          </w:tcPr>
          <w:p w:rsidR="0083605C" w:rsidRPr="0083605C" w:rsidRDefault="0083605C" w:rsidP="00467A7C">
            <w:pPr>
              <w:jc w:val="right"/>
              <w:rPr>
                <w:rFonts w:ascii="Verdana" w:hAnsi="Verdana" w:cs="Arial"/>
                <w:sz w:val="24"/>
                <w:szCs w:val="24"/>
              </w:rPr>
            </w:pPr>
            <w:r w:rsidRPr="0083605C">
              <w:rPr>
                <w:rFonts w:ascii="Verdana" w:hAnsi="Verdana" w:cs="Arial"/>
                <w:sz w:val="24"/>
                <w:szCs w:val="24"/>
              </w:rPr>
              <w:t>434</w:t>
            </w:r>
          </w:p>
        </w:tc>
      </w:tr>
      <w:tr w:rsidR="0083605C" w:rsidRPr="0083605C" w:rsidTr="0083605C">
        <w:trPr>
          <w:trHeight w:val="330"/>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r>
      <w:tr w:rsidR="0083605C" w:rsidRPr="0083605C" w:rsidTr="0083605C">
        <w:trPr>
          <w:trHeight w:val="330"/>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r w:rsidRPr="0083605C">
              <w:rPr>
                <w:rFonts w:ascii="Verdana" w:hAnsi="Verdana" w:cs="Arial"/>
                <w:sz w:val="24"/>
                <w:szCs w:val="24"/>
              </w:rPr>
              <w:t>docP</w:t>
            </w:r>
          </w:p>
        </w:tc>
        <w:tc>
          <w:tcPr>
            <w:tcW w:w="991" w:type="dxa"/>
            <w:tcBorders>
              <w:top w:val="nil"/>
              <w:left w:val="nil"/>
              <w:bottom w:val="nil"/>
              <w:right w:val="nil"/>
            </w:tcBorders>
            <w:shd w:val="clear" w:color="auto" w:fill="auto"/>
            <w:noWrap/>
            <w:vAlign w:val="bottom"/>
          </w:tcPr>
          <w:p w:rsidR="0083605C" w:rsidRPr="0083605C" w:rsidRDefault="0083605C" w:rsidP="00467A7C">
            <w:pPr>
              <w:jc w:val="right"/>
              <w:rPr>
                <w:rFonts w:ascii="Verdana" w:hAnsi="Verdana" w:cs="Arial"/>
                <w:sz w:val="24"/>
                <w:szCs w:val="24"/>
              </w:rPr>
            </w:pPr>
            <w:r w:rsidRPr="0083605C">
              <w:rPr>
                <w:rFonts w:ascii="Verdana" w:hAnsi="Verdana" w:cs="Arial"/>
                <w:sz w:val="24"/>
                <w:szCs w:val="24"/>
              </w:rPr>
              <w:t>2.278</w:t>
            </w:r>
          </w:p>
        </w:tc>
      </w:tr>
      <w:tr w:rsidR="0083605C" w:rsidRPr="0083605C" w:rsidTr="0083605C">
        <w:trPr>
          <w:trHeight w:val="330"/>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991"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r>
      <w:tr w:rsidR="0083605C" w:rsidRPr="0083605C" w:rsidTr="0083605C">
        <w:trPr>
          <w:trHeight w:val="345"/>
        </w:trPr>
        <w:tc>
          <w:tcPr>
            <w:tcW w:w="3139"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p w:rsidR="0083605C" w:rsidRPr="0083605C" w:rsidRDefault="00EF1986" w:rsidP="00EF1986">
            <w:pPr>
              <w:rPr>
                <w:rFonts w:ascii="Verdana" w:hAnsi="Verdana" w:cs="Arial"/>
                <w:sz w:val="24"/>
                <w:szCs w:val="24"/>
              </w:rPr>
            </w:pPr>
            <w:r>
              <w:rPr>
                <w:rFonts w:ascii="Verdana" w:hAnsi="Verdana" w:cs="Arial"/>
                <w:sz w:val="24"/>
                <w:szCs w:val="24"/>
              </w:rPr>
              <w:t>t</w:t>
            </w:r>
            <w:r w:rsidR="0083605C" w:rsidRPr="0083605C">
              <w:rPr>
                <w:rFonts w:ascii="Verdana" w:hAnsi="Verdana" w:cs="Arial"/>
                <w:sz w:val="24"/>
                <w:szCs w:val="24"/>
              </w:rPr>
              <w:t>otaal</w:t>
            </w:r>
            <w:r>
              <w:rPr>
                <w:rFonts w:ascii="Verdana" w:hAnsi="Verdana" w:cs="Arial"/>
                <w:sz w:val="24"/>
                <w:szCs w:val="24"/>
              </w:rPr>
              <w:t xml:space="preserve"> o</w:t>
            </w:r>
            <w:r w:rsidR="0083605C" w:rsidRPr="0083605C">
              <w:rPr>
                <w:rFonts w:ascii="Verdana" w:hAnsi="Verdana" w:cs="Arial"/>
                <w:sz w:val="24"/>
                <w:szCs w:val="24"/>
              </w:rPr>
              <w:t>ntvangen</w:t>
            </w:r>
            <w:r>
              <w:rPr>
                <w:rFonts w:ascii="Verdana" w:hAnsi="Verdana" w:cs="Arial"/>
                <w:sz w:val="24"/>
                <w:szCs w:val="24"/>
              </w:rPr>
              <w:t xml:space="preserve"> </w:t>
            </w:r>
            <w:r w:rsidR="0083605C" w:rsidRPr="0083605C">
              <w:rPr>
                <w:rFonts w:ascii="Verdana" w:hAnsi="Verdana" w:cs="Arial"/>
                <w:sz w:val="24"/>
                <w:szCs w:val="24"/>
              </w:rPr>
              <w:t>donaties</w:t>
            </w:r>
          </w:p>
        </w:tc>
        <w:tc>
          <w:tcPr>
            <w:tcW w:w="991" w:type="dxa"/>
            <w:tcBorders>
              <w:top w:val="single" w:sz="4" w:space="0" w:color="auto"/>
              <w:left w:val="nil"/>
              <w:bottom w:val="double" w:sz="6" w:space="0" w:color="auto"/>
              <w:right w:val="nil"/>
            </w:tcBorders>
            <w:shd w:val="clear" w:color="auto" w:fill="auto"/>
            <w:noWrap/>
            <w:vAlign w:val="bottom"/>
          </w:tcPr>
          <w:p w:rsidR="0083605C" w:rsidRPr="0083605C" w:rsidRDefault="00EF1986" w:rsidP="00467A7C">
            <w:pPr>
              <w:jc w:val="right"/>
              <w:rPr>
                <w:rFonts w:ascii="Verdana" w:hAnsi="Verdana" w:cs="Arial"/>
                <w:sz w:val="24"/>
                <w:szCs w:val="24"/>
              </w:rPr>
            </w:pPr>
            <w:r>
              <w:rPr>
                <w:rFonts w:ascii="Verdana" w:hAnsi="Verdana" w:cs="Arial"/>
                <w:sz w:val="24"/>
                <w:szCs w:val="24"/>
              </w:rPr>
              <w:t xml:space="preserve">        </w:t>
            </w:r>
            <w:r w:rsidR="0083605C" w:rsidRPr="0083605C">
              <w:rPr>
                <w:rFonts w:ascii="Verdana" w:hAnsi="Verdana" w:cs="Arial"/>
                <w:sz w:val="24"/>
                <w:szCs w:val="24"/>
              </w:rPr>
              <w:t>35.434</w:t>
            </w:r>
          </w:p>
        </w:tc>
        <w:tc>
          <w:tcPr>
            <w:tcW w:w="22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p>
        </w:tc>
        <w:tc>
          <w:tcPr>
            <w:tcW w:w="3685" w:type="dxa"/>
            <w:tcBorders>
              <w:top w:val="nil"/>
              <w:left w:val="nil"/>
              <w:bottom w:val="nil"/>
              <w:right w:val="nil"/>
            </w:tcBorders>
            <w:shd w:val="clear" w:color="auto" w:fill="auto"/>
            <w:noWrap/>
            <w:vAlign w:val="bottom"/>
          </w:tcPr>
          <w:p w:rsidR="0083605C" w:rsidRPr="0083605C" w:rsidRDefault="0083605C" w:rsidP="00467A7C">
            <w:pPr>
              <w:rPr>
                <w:rFonts w:ascii="Verdana" w:hAnsi="Verdana" w:cs="Arial"/>
                <w:sz w:val="24"/>
                <w:szCs w:val="24"/>
              </w:rPr>
            </w:pPr>
            <w:r w:rsidRPr="0083605C">
              <w:rPr>
                <w:rFonts w:ascii="Verdana" w:hAnsi="Verdana" w:cs="Arial"/>
                <w:sz w:val="24"/>
                <w:szCs w:val="24"/>
              </w:rPr>
              <w:t>totaal uitgegeven</w:t>
            </w:r>
          </w:p>
        </w:tc>
        <w:tc>
          <w:tcPr>
            <w:tcW w:w="991" w:type="dxa"/>
            <w:tcBorders>
              <w:top w:val="single" w:sz="4" w:space="0" w:color="auto"/>
              <w:left w:val="nil"/>
              <w:bottom w:val="double" w:sz="6" w:space="0" w:color="auto"/>
              <w:right w:val="nil"/>
            </w:tcBorders>
            <w:shd w:val="clear" w:color="auto" w:fill="auto"/>
            <w:noWrap/>
            <w:vAlign w:val="bottom"/>
          </w:tcPr>
          <w:p w:rsidR="0083605C" w:rsidRPr="0083605C" w:rsidRDefault="0083605C" w:rsidP="00467A7C">
            <w:pPr>
              <w:jc w:val="right"/>
              <w:rPr>
                <w:rFonts w:ascii="Verdana" w:hAnsi="Verdana" w:cs="Arial"/>
                <w:sz w:val="24"/>
                <w:szCs w:val="24"/>
              </w:rPr>
            </w:pPr>
            <w:r w:rsidRPr="0083605C">
              <w:rPr>
                <w:rFonts w:ascii="Verdana" w:hAnsi="Verdana" w:cs="Arial"/>
                <w:sz w:val="24"/>
                <w:szCs w:val="24"/>
              </w:rPr>
              <w:t>35.434</w:t>
            </w:r>
          </w:p>
        </w:tc>
      </w:tr>
    </w:tbl>
    <w:p w:rsidR="0083605C" w:rsidRPr="0083605C" w:rsidRDefault="0083605C" w:rsidP="0083605C">
      <w:pPr>
        <w:rPr>
          <w:rFonts w:ascii="Verdana" w:hAnsi="Verdana"/>
          <w:sz w:val="24"/>
          <w:szCs w:val="24"/>
        </w:rPr>
      </w:pPr>
    </w:p>
    <w:p w:rsidR="0083605C" w:rsidRPr="0083605C" w:rsidRDefault="0083605C" w:rsidP="0083605C">
      <w:pPr>
        <w:rPr>
          <w:rFonts w:ascii="Verdana" w:hAnsi="Verdana"/>
          <w:sz w:val="24"/>
          <w:szCs w:val="24"/>
        </w:rPr>
      </w:pPr>
    </w:p>
    <w:p w:rsidR="002B5627" w:rsidRPr="0083605C" w:rsidRDefault="0083605C">
      <w:pPr>
        <w:rPr>
          <w:rFonts w:ascii="Verdana" w:hAnsi="Verdana"/>
          <w:sz w:val="24"/>
          <w:szCs w:val="24"/>
        </w:rPr>
      </w:pPr>
      <w:r w:rsidRPr="00EF1986">
        <w:rPr>
          <w:rFonts w:ascii="Verdana" w:hAnsi="Verdana"/>
          <w:sz w:val="20"/>
          <w:szCs w:val="20"/>
        </w:rPr>
        <w:t xml:space="preserve">Het NPK heeft docP een subsidie verleend van € 10.000. Van de donaties is hiervoor </w:t>
      </w:r>
      <w:r w:rsidR="00EF1986">
        <w:rPr>
          <w:rFonts w:ascii="Verdana" w:hAnsi="Verdana"/>
          <w:sz w:val="20"/>
          <w:szCs w:val="20"/>
        </w:rPr>
        <w:t xml:space="preserve">      </w:t>
      </w:r>
      <w:r w:rsidRPr="00EF1986">
        <w:rPr>
          <w:rFonts w:ascii="Verdana" w:hAnsi="Verdana"/>
          <w:sz w:val="20"/>
          <w:szCs w:val="20"/>
        </w:rPr>
        <w:t>€</w:t>
      </w:r>
      <w:r w:rsidRPr="00EF1986">
        <w:rPr>
          <w:rFonts w:ascii="Verdana" w:hAnsi="Verdana"/>
          <w:sz w:val="20"/>
          <w:szCs w:val="20"/>
        </w:rPr>
        <w:t xml:space="preserve"> </w:t>
      </w:r>
      <w:r w:rsidRPr="00EF1986">
        <w:rPr>
          <w:rFonts w:ascii="Verdana" w:hAnsi="Verdana"/>
          <w:sz w:val="20"/>
          <w:szCs w:val="20"/>
        </w:rPr>
        <w:t>2.278 aangewend, de rest kwam uit de algemene reserve.</w:t>
      </w:r>
    </w:p>
    <w:sectPr w:rsidR="002B5627" w:rsidRPr="0083605C" w:rsidSect="003B0205">
      <w:head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42" w:rsidRDefault="00EF1986">
    <w:pPr>
      <w:pStyle w:val="Koptekst"/>
      <w:jc w:val="right"/>
    </w:pPr>
    <w:r>
      <w:fldChar w:fldCharType="begin"/>
    </w:r>
    <w:r>
      <w:instrText xml:space="preserve"> PAGE   \* MERGEFORMAT </w:instrText>
    </w:r>
    <w:r>
      <w:fldChar w:fldCharType="separate"/>
    </w:r>
    <w:r>
      <w:rPr>
        <w:noProof/>
      </w:rPr>
      <w:t>6</w:t>
    </w:r>
    <w:r>
      <w:fldChar w:fldCharType="end"/>
    </w:r>
  </w:p>
  <w:p w:rsidR="00076542" w:rsidRDefault="00EF19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5C"/>
    <w:rsid w:val="002B5627"/>
    <w:rsid w:val="0083605C"/>
    <w:rsid w:val="00EF19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605C"/>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83605C"/>
    <w:rPr>
      <w:b/>
      <w:bCs/>
    </w:rPr>
  </w:style>
  <w:style w:type="character" w:styleId="Hyperlink">
    <w:name w:val="Hyperlink"/>
    <w:unhideWhenUsed/>
    <w:rsid w:val="0083605C"/>
    <w:rPr>
      <w:color w:val="0000FF"/>
      <w:u w:val="single"/>
    </w:rPr>
  </w:style>
  <w:style w:type="paragraph" w:styleId="Geenafstand">
    <w:name w:val="No Spacing"/>
    <w:uiPriority w:val="1"/>
    <w:qFormat/>
    <w:rsid w:val="0083605C"/>
    <w:pPr>
      <w:spacing w:after="0" w:line="240" w:lineRule="auto"/>
    </w:pPr>
    <w:rPr>
      <w:rFonts w:ascii="Trebuchet MS" w:eastAsia="Calibri" w:hAnsi="Trebuchet MS" w:cs="Times New Roman"/>
      <w:szCs w:val="22"/>
    </w:rPr>
  </w:style>
  <w:style w:type="paragraph" w:customStyle="1" w:styleId="ListParagraph">
    <w:name w:val="List Paragraph"/>
    <w:basedOn w:val="Standaard"/>
    <w:rsid w:val="0083605C"/>
    <w:pPr>
      <w:ind w:left="720"/>
      <w:contextualSpacing/>
    </w:pPr>
    <w:rPr>
      <w:rFonts w:eastAsia="Times New Roman" w:cs="Arial"/>
    </w:rPr>
  </w:style>
  <w:style w:type="paragraph" w:styleId="Koptekst">
    <w:name w:val="header"/>
    <w:basedOn w:val="Standaard"/>
    <w:link w:val="KoptekstChar"/>
    <w:uiPriority w:val="99"/>
    <w:unhideWhenUsed/>
    <w:rsid w:val="0083605C"/>
    <w:pPr>
      <w:tabs>
        <w:tab w:val="center" w:pos="4536"/>
        <w:tab w:val="right" w:pos="9072"/>
      </w:tabs>
    </w:pPr>
  </w:style>
  <w:style w:type="character" w:customStyle="1" w:styleId="KoptekstChar">
    <w:name w:val="Koptekst Char"/>
    <w:basedOn w:val="Standaardalinea-lettertype"/>
    <w:link w:val="Koptekst"/>
    <w:uiPriority w:val="99"/>
    <w:rsid w:val="0083605C"/>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605C"/>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83605C"/>
    <w:rPr>
      <w:b/>
      <w:bCs/>
    </w:rPr>
  </w:style>
  <w:style w:type="character" w:styleId="Hyperlink">
    <w:name w:val="Hyperlink"/>
    <w:unhideWhenUsed/>
    <w:rsid w:val="0083605C"/>
    <w:rPr>
      <w:color w:val="0000FF"/>
      <w:u w:val="single"/>
    </w:rPr>
  </w:style>
  <w:style w:type="paragraph" w:styleId="Geenafstand">
    <w:name w:val="No Spacing"/>
    <w:uiPriority w:val="1"/>
    <w:qFormat/>
    <w:rsid w:val="0083605C"/>
    <w:pPr>
      <w:spacing w:after="0" w:line="240" w:lineRule="auto"/>
    </w:pPr>
    <w:rPr>
      <w:rFonts w:ascii="Trebuchet MS" w:eastAsia="Calibri" w:hAnsi="Trebuchet MS" w:cs="Times New Roman"/>
      <w:szCs w:val="22"/>
    </w:rPr>
  </w:style>
  <w:style w:type="paragraph" w:customStyle="1" w:styleId="ListParagraph">
    <w:name w:val="List Paragraph"/>
    <w:basedOn w:val="Standaard"/>
    <w:rsid w:val="0083605C"/>
    <w:pPr>
      <w:ind w:left="720"/>
      <w:contextualSpacing/>
    </w:pPr>
    <w:rPr>
      <w:rFonts w:eastAsia="Times New Roman" w:cs="Arial"/>
    </w:rPr>
  </w:style>
  <w:style w:type="paragraph" w:styleId="Koptekst">
    <w:name w:val="header"/>
    <w:basedOn w:val="Standaard"/>
    <w:link w:val="KoptekstChar"/>
    <w:uiPriority w:val="99"/>
    <w:unhideWhenUsed/>
    <w:rsid w:val="0083605C"/>
    <w:pPr>
      <w:tabs>
        <w:tab w:val="center" w:pos="4536"/>
        <w:tab w:val="right" w:pos="9072"/>
      </w:tabs>
    </w:pPr>
  </w:style>
  <w:style w:type="character" w:customStyle="1" w:styleId="KoptekstChar">
    <w:name w:val="Koptekst Char"/>
    <w:basedOn w:val="Standaardalinea-lettertype"/>
    <w:link w:val="Koptekst"/>
    <w:uiPriority w:val="99"/>
    <w:rsid w:val="0083605C"/>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usselltribunalonpalestine.com/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cpalestine.org" TargetMode="External"/><Relationship Id="rId5" Type="http://schemas.openxmlformats.org/officeDocument/2006/relationships/hyperlink" Target="http://www.docp.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1962</Words>
  <Characters>10793</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2014-02-11T16:52:00Z</dcterms:created>
  <dcterms:modified xsi:type="dcterms:W3CDTF">2014-02-11T17:02:00Z</dcterms:modified>
</cp:coreProperties>
</file>